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5E" w:rsidRPr="002B2A36" w:rsidRDefault="008E255E" w:rsidP="00F10DB1">
      <w:pPr>
        <w:jc w:val="center"/>
        <w:rPr>
          <w:rFonts w:ascii="Times New Roman" w:hAnsi="Times New Roman" w:cs="Times New Roman"/>
          <w:b/>
          <w:sz w:val="28"/>
          <w:szCs w:val="28"/>
          <w:lang w:val="en-US"/>
        </w:rPr>
      </w:pPr>
      <w:r w:rsidRPr="002B2A36">
        <w:rPr>
          <w:rFonts w:ascii="Times New Roman" w:hAnsi="Times New Roman" w:cs="Times New Roman"/>
          <w:b/>
          <w:sz w:val="28"/>
          <w:szCs w:val="28"/>
          <w:lang w:val="en-US"/>
        </w:rPr>
        <w:t>Possible trade facilitating and regional</w:t>
      </w:r>
      <w:r w:rsidR="00EA51C7" w:rsidRPr="002B2A36">
        <w:rPr>
          <w:rFonts w:ascii="Times New Roman" w:hAnsi="Times New Roman" w:cs="Times New Roman"/>
          <w:b/>
          <w:sz w:val="28"/>
          <w:szCs w:val="28"/>
          <w:lang w:val="en-US"/>
        </w:rPr>
        <w:t xml:space="preserve"> value chains promoting effects</w:t>
      </w:r>
      <w:r w:rsidR="00EA51C7" w:rsidRPr="002B2A36">
        <w:rPr>
          <w:rFonts w:ascii="Times New Roman" w:hAnsi="Times New Roman" w:cs="Times New Roman"/>
          <w:b/>
          <w:sz w:val="28"/>
          <w:szCs w:val="28"/>
          <w:lang w:val="en-US"/>
        </w:rPr>
        <w:br/>
      </w:r>
      <w:r w:rsidRPr="002B2A36">
        <w:rPr>
          <w:rFonts w:ascii="Times New Roman" w:hAnsi="Times New Roman" w:cs="Times New Roman"/>
          <w:b/>
          <w:sz w:val="28"/>
          <w:szCs w:val="28"/>
          <w:lang w:val="en-US"/>
        </w:rPr>
        <w:t>of the Eurasian Economic Union (E</w:t>
      </w:r>
      <w:r w:rsidR="00EE75C5" w:rsidRPr="002B2A36">
        <w:rPr>
          <w:rFonts w:ascii="Times New Roman" w:hAnsi="Times New Roman" w:cs="Times New Roman"/>
          <w:b/>
          <w:sz w:val="28"/>
          <w:szCs w:val="28"/>
          <w:lang w:val="en-US"/>
        </w:rPr>
        <w:t>A</w:t>
      </w:r>
      <w:r w:rsidRPr="002B2A36">
        <w:rPr>
          <w:rFonts w:ascii="Times New Roman" w:hAnsi="Times New Roman" w:cs="Times New Roman"/>
          <w:b/>
          <w:sz w:val="28"/>
          <w:szCs w:val="28"/>
          <w:lang w:val="en-US"/>
        </w:rPr>
        <w:t>EU)</w:t>
      </w:r>
    </w:p>
    <w:p w:rsidR="00F5139B" w:rsidRPr="002B2A36" w:rsidRDefault="00141C86" w:rsidP="00F10DB1">
      <w:pPr>
        <w:jc w:val="right"/>
        <w:rPr>
          <w:rFonts w:ascii="Times New Roman" w:hAnsi="Times New Roman" w:cs="Times New Roman"/>
          <w:sz w:val="28"/>
          <w:szCs w:val="28"/>
          <w:lang w:val="en-US"/>
        </w:rPr>
      </w:pPr>
      <w:r w:rsidRPr="002B2A36">
        <w:rPr>
          <w:rFonts w:ascii="Times New Roman" w:hAnsi="Times New Roman" w:cs="Times New Roman"/>
          <w:sz w:val="28"/>
          <w:szCs w:val="28"/>
          <w:lang w:val="en-US"/>
        </w:rPr>
        <w:t>by Prof. S.</w:t>
      </w:r>
      <w:r w:rsidR="00157CD0" w:rsidRPr="002B2A36">
        <w:rPr>
          <w:rFonts w:ascii="Times New Roman" w:hAnsi="Times New Roman" w:cs="Times New Roman"/>
          <w:sz w:val="28"/>
          <w:szCs w:val="28"/>
          <w:lang w:val="en-US"/>
        </w:rPr>
        <w:t xml:space="preserve"> </w:t>
      </w:r>
      <w:r w:rsidRPr="002B2A36">
        <w:rPr>
          <w:rFonts w:ascii="Times New Roman" w:hAnsi="Times New Roman" w:cs="Times New Roman"/>
          <w:sz w:val="28"/>
          <w:szCs w:val="28"/>
          <w:lang w:val="en-US"/>
        </w:rPr>
        <w:t>Sutyrin</w:t>
      </w:r>
      <w:r w:rsidRPr="002B2A36">
        <w:rPr>
          <w:rStyle w:val="a5"/>
          <w:rFonts w:ascii="Times New Roman" w:hAnsi="Times New Roman" w:cs="Times New Roman"/>
          <w:sz w:val="28"/>
          <w:szCs w:val="28"/>
          <w:lang w:val="en-US"/>
        </w:rPr>
        <w:footnoteReference w:id="1"/>
      </w:r>
      <w:r w:rsidR="00AF6DD1" w:rsidRPr="002B2A36">
        <w:rPr>
          <w:rFonts w:ascii="Times New Roman" w:hAnsi="Times New Roman" w:cs="Times New Roman"/>
          <w:sz w:val="28"/>
          <w:szCs w:val="28"/>
          <w:lang w:val="en-US"/>
        </w:rPr>
        <w:t>,</w:t>
      </w:r>
      <w:r w:rsidRPr="002B2A36">
        <w:rPr>
          <w:rFonts w:ascii="Times New Roman" w:hAnsi="Times New Roman" w:cs="Times New Roman"/>
          <w:sz w:val="28"/>
          <w:szCs w:val="28"/>
          <w:lang w:val="en-US"/>
        </w:rPr>
        <w:t xml:space="preserve"> Dr.</w:t>
      </w:r>
      <w:r w:rsidR="00157CD0" w:rsidRPr="002B2A36">
        <w:rPr>
          <w:rFonts w:ascii="Times New Roman" w:hAnsi="Times New Roman" w:cs="Times New Roman"/>
          <w:sz w:val="28"/>
          <w:szCs w:val="28"/>
          <w:lang w:val="en-US"/>
        </w:rPr>
        <w:t xml:space="preserve"> </w:t>
      </w:r>
      <w:r w:rsidRPr="002B2A36">
        <w:rPr>
          <w:rFonts w:ascii="Times New Roman" w:hAnsi="Times New Roman" w:cs="Times New Roman"/>
          <w:sz w:val="28"/>
          <w:szCs w:val="28"/>
          <w:lang w:val="en-US"/>
        </w:rPr>
        <w:t>O.</w:t>
      </w:r>
      <w:r w:rsidR="00157CD0" w:rsidRPr="002B2A36">
        <w:rPr>
          <w:rFonts w:ascii="Times New Roman" w:hAnsi="Times New Roman" w:cs="Times New Roman"/>
          <w:sz w:val="28"/>
          <w:szCs w:val="28"/>
          <w:lang w:val="en-US"/>
        </w:rPr>
        <w:t xml:space="preserve"> </w:t>
      </w:r>
      <w:r w:rsidRPr="002B2A36">
        <w:rPr>
          <w:rFonts w:ascii="Times New Roman" w:hAnsi="Times New Roman" w:cs="Times New Roman"/>
          <w:sz w:val="28"/>
          <w:szCs w:val="28"/>
          <w:lang w:val="en-US"/>
        </w:rPr>
        <w:t>Trofimenko,</w:t>
      </w:r>
      <w:r w:rsidR="00E31FFD" w:rsidRPr="002B2A36">
        <w:rPr>
          <w:rFonts w:ascii="Times New Roman" w:hAnsi="Times New Roman" w:cs="Times New Roman"/>
          <w:sz w:val="28"/>
          <w:szCs w:val="28"/>
          <w:lang w:val="en-US"/>
        </w:rPr>
        <w:br/>
        <w:t>S</w:t>
      </w:r>
      <w:r w:rsidR="00F10DB1" w:rsidRPr="002B2A36">
        <w:rPr>
          <w:rFonts w:ascii="Times New Roman" w:hAnsi="Times New Roman" w:cs="Times New Roman"/>
          <w:sz w:val="28"/>
          <w:szCs w:val="28"/>
          <w:lang w:val="en-US"/>
        </w:rPr>
        <w:t>t. Petersburg State University,</w:t>
      </w:r>
      <w:r w:rsidR="00F10DB1" w:rsidRPr="002B2A36">
        <w:rPr>
          <w:rFonts w:ascii="Times New Roman" w:hAnsi="Times New Roman" w:cs="Times New Roman"/>
          <w:sz w:val="28"/>
          <w:szCs w:val="28"/>
          <w:lang w:val="en-US"/>
        </w:rPr>
        <w:br/>
      </w:r>
      <w:r w:rsidR="00E31FFD" w:rsidRPr="002B2A36">
        <w:rPr>
          <w:rFonts w:ascii="Times New Roman" w:hAnsi="Times New Roman" w:cs="Times New Roman"/>
          <w:sz w:val="28"/>
          <w:szCs w:val="28"/>
          <w:lang w:val="en-US"/>
        </w:rPr>
        <w:t>Russian Federation</w:t>
      </w:r>
    </w:p>
    <w:p w:rsidR="00141C86" w:rsidRPr="002B2A36" w:rsidRDefault="00141C86">
      <w:pPr>
        <w:rPr>
          <w:rFonts w:ascii="Times New Roman" w:hAnsi="Times New Roman" w:cs="Times New Roman"/>
          <w:sz w:val="28"/>
          <w:szCs w:val="28"/>
          <w:lang w:val="en-US"/>
        </w:rPr>
      </w:pPr>
    </w:p>
    <w:p w:rsidR="00F5139B" w:rsidRPr="002B2A36" w:rsidRDefault="00D5595B">
      <w:pPr>
        <w:rPr>
          <w:rFonts w:ascii="Times New Roman" w:hAnsi="Times New Roman" w:cs="Times New Roman"/>
          <w:b/>
          <w:sz w:val="28"/>
          <w:szCs w:val="28"/>
          <w:lang w:val="en-US"/>
        </w:rPr>
      </w:pPr>
      <w:r w:rsidRPr="002B2A36">
        <w:rPr>
          <w:rFonts w:ascii="Times New Roman" w:hAnsi="Times New Roman" w:cs="Times New Roman"/>
          <w:b/>
          <w:sz w:val="28"/>
          <w:szCs w:val="28"/>
          <w:lang w:val="en-US"/>
        </w:rPr>
        <w:t>Abstract</w:t>
      </w:r>
    </w:p>
    <w:p w:rsidR="00141C86" w:rsidRPr="002B2A36" w:rsidRDefault="00E31FFD" w:rsidP="00B1495C">
      <w:pPr>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The E</w:t>
      </w:r>
      <w:r w:rsidR="00A539E6" w:rsidRPr="002B2A36">
        <w:rPr>
          <w:rFonts w:ascii="Times New Roman" w:hAnsi="Times New Roman" w:cs="Times New Roman"/>
          <w:sz w:val="28"/>
          <w:szCs w:val="28"/>
          <w:lang w:val="en-US"/>
        </w:rPr>
        <w:t>A</w:t>
      </w:r>
      <w:r w:rsidRPr="002B2A36">
        <w:rPr>
          <w:rFonts w:ascii="Times New Roman" w:hAnsi="Times New Roman" w:cs="Times New Roman"/>
          <w:sz w:val="28"/>
          <w:szCs w:val="28"/>
          <w:lang w:val="en-US"/>
        </w:rPr>
        <w:t xml:space="preserve">EU came into force on </w:t>
      </w:r>
      <w:r w:rsidR="00B1495C" w:rsidRPr="002B2A36">
        <w:rPr>
          <w:rFonts w:ascii="Times New Roman" w:hAnsi="Times New Roman" w:cs="Times New Roman"/>
          <w:sz w:val="28"/>
          <w:szCs w:val="28"/>
          <w:lang w:val="en-US"/>
        </w:rPr>
        <w:t>January 1</w:t>
      </w:r>
      <w:r w:rsidRPr="002B2A36">
        <w:rPr>
          <w:rFonts w:ascii="Times New Roman" w:hAnsi="Times New Roman" w:cs="Times New Roman"/>
          <w:sz w:val="28"/>
          <w:szCs w:val="28"/>
          <w:lang w:val="en-US"/>
        </w:rPr>
        <w:t>, 2015. I</w:t>
      </w:r>
      <w:r w:rsidR="00B1495C" w:rsidRPr="002B2A36">
        <w:rPr>
          <w:rFonts w:ascii="Times New Roman" w:hAnsi="Times New Roman" w:cs="Times New Roman"/>
          <w:sz w:val="28"/>
          <w:szCs w:val="28"/>
          <w:lang w:val="en-US"/>
        </w:rPr>
        <w:t xml:space="preserve">n comparison with previously existing Customs Union of Russian Federation, Republic of Belarus and Republic of Kazakhstan it also encompasses Republic Armenia. Kyrgyzstan is expected to join the club in the nearest future. </w:t>
      </w:r>
    </w:p>
    <w:p w:rsidR="00B1495C" w:rsidRPr="002B2A36" w:rsidRDefault="00AE0231" w:rsidP="00B1495C">
      <w:pPr>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Creation of the E</w:t>
      </w:r>
      <w:r w:rsidR="00EE75C5" w:rsidRPr="002B2A36">
        <w:rPr>
          <w:rFonts w:ascii="Times New Roman" w:hAnsi="Times New Roman" w:cs="Times New Roman"/>
          <w:sz w:val="28"/>
          <w:szCs w:val="28"/>
          <w:lang w:val="en-US"/>
        </w:rPr>
        <w:t>A</w:t>
      </w:r>
      <w:r w:rsidRPr="002B2A36">
        <w:rPr>
          <w:rFonts w:ascii="Times New Roman" w:hAnsi="Times New Roman" w:cs="Times New Roman"/>
          <w:sz w:val="28"/>
          <w:szCs w:val="28"/>
          <w:lang w:val="en-US"/>
        </w:rPr>
        <w:t xml:space="preserve">EU </w:t>
      </w:r>
      <w:r w:rsidR="008A3656" w:rsidRPr="002B2A36">
        <w:rPr>
          <w:rFonts w:ascii="Times New Roman" w:hAnsi="Times New Roman" w:cs="Times New Roman"/>
          <w:sz w:val="28"/>
          <w:szCs w:val="28"/>
          <w:lang w:val="en-US"/>
        </w:rPr>
        <w:t xml:space="preserve">implies harmonization of trade policy, creation of the single economic space, </w:t>
      </w:r>
      <w:r w:rsidR="005E7684" w:rsidRPr="002B2A36">
        <w:rPr>
          <w:rFonts w:ascii="Times New Roman" w:hAnsi="Times New Roman" w:cs="Times New Roman"/>
          <w:sz w:val="28"/>
          <w:szCs w:val="28"/>
          <w:lang w:val="en-US"/>
        </w:rPr>
        <w:t xml:space="preserve">development of trade and investment flows between member states. At the same </w:t>
      </w:r>
      <w:r w:rsidR="00BF47AD" w:rsidRPr="002B2A36">
        <w:rPr>
          <w:rFonts w:ascii="Times New Roman" w:hAnsi="Times New Roman" w:cs="Times New Roman"/>
          <w:sz w:val="28"/>
          <w:szCs w:val="28"/>
          <w:lang w:val="en-US"/>
        </w:rPr>
        <w:t>time,</w:t>
      </w:r>
      <w:r w:rsidR="005E7684" w:rsidRPr="002B2A36">
        <w:rPr>
          <w:rFonts w:ascii="Times New Roman" w:hAnsi="Times New Roman" w:cs="Times New Roman"/>
          <w:sz w:val="28"/>
          <w:szCs w:val="28"/>
          <w:lang w:val="en-US"/>
        </w:rPr>
        <w:t xml:space="preserve"> current level of co-operation (with </w:t>
      </w:r>
      <w:r w:rsidR="00157CD0" w:rsidRPr="002B2A36">
        <w:rPr>
          <w:rFonts w:ascii="Times New Roman" w:hAnsi="Times New Roman" w:cs="Times New Roman"/>
          <w:sz w:val="28"/>
          <w:szCs w:val="28"/>
          <w:lang w:val="en-US"/>
        </w:rPr>
        <w:t xml:space="preserve">an </w:t>
      </w:r>
      <w:r w:rsidR="005E7684" w:rsidRPr="002B2A36">
        <w:rPr>
          <w:rFonts w:ascii="Times New Roman" w:hAnsi="Times New Roman" w:cs="Times New Roman"/>
          <w:sz w:val="28"/>
          <w:szCs w:val="28"/>
          <w:lang w:val="en-US"/>
        </w:rPr>
        <w:t>exception of Russian-</w:t>
      </w:r>
      <w:r w:rsidR="00157CD0" w:rsidRPr="002B2A36">
        <w:rPr>
          <w:rFonts w:ascii="Times New Roman" w:hAnsi="Times New Roman" w:cs="Times New Roman"/>
          <w:sz w:val="28"/>
          <w:szCs w:val="28"/>
          <w:lang w:val="en-US"/>
        </w:rPr>
        <w:t>Belarusian</w:t>
      </w:r>
      <w:r w:rsidR="005E7684" w:rsidRPr="002B2A36">
        <w:rPr>
          <w:rFonts w:ascii="Times New Roman" w:hAnsi="Times New Roman" w:cs="Times New Roman"/>
          <w:sz w:val="28"/>
          <w:szCs w:val="28"/>
          <w:lang w:val="en-US"/>
        </w:rPr>
        <w:t xml:space="preserve"> relations) is rather low.</w:t>
      </w:r>
      <w:r w:rsidR="00BF47AD" w:rsidRPr="002B2A36">
        <w:rPr>
          <w:rFonts w:ascii="Times New Roman" w:hAnsi="Times New Roman" w:cs="Times New Roman"/>
          <w:sz w:val="28"/>
          <w:szCs w:val="28"/>
          <w:lang w:val="en-US"/>
        </w:rPr>
        <w:t xml:space="preserve"> Regional value chains are hardly existing. </w:t>
      </w:r>
    </w:p>
    <w:p w:rsidR="005E7684" w:rsidRPr="002B2A36" w:rsidRDefault="005E7684" w:rsidP="00B1495C">
      <w:pPr>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 xml:space="preserve">The paper assesses </w:t>
      </w:r>
      <w:r w:rsidR="00A33609" w:rsidRPr="002B2A36">
        <w:rPr>
          <w:rFonts w:ascii="Times New Roman" w:hAnsi="Times New Roman" w:cs="Times New Roman"/>
          <w:sz w:val="28"/>
          <w:szCs w:val="28"/>
          <w:lang w:val="en-US"/>
        </w:rPr>
        <w:t>developments in E</w:t>
      </w:r>
      <w:r w:rsidR="00EE75C5" w:rsidRPr="002B2A36">
        <w:rPr>
          <w:rFonts w:ascii="Times New Roman" w:hAnsi="Times New Roman" w:cs="Times New Roman"/>
          <w:sz w:val="28"/>
          <w:szCs w:val="28"/>
          <w:lang w:val="en-US"/>
        </w:rPr>
        <w:t>A</w:t>
      </w:r>
      <w:r w:rsidR="00A33609" w:rsidRPr="002B2A36">
        <w:rPr>
          <w:rFonts w:ascii="Times New Roman" w:hAnsi="Times New Roman" w:cs="Times New Roman"/>
          <w:sz w:val="28"/>
          <w:szCs w:val="28"/>
          <w:lang w:val="en-US"/>
        </w:rPr>
        <w:t>EU regulation presumable conducive to trade facilitation, as well as establishing/restoration of regional value chains.</w:t>
      </w:r>
    </w:p>
    <w:p w:rsidR="00F10DB1" w:rsidRPr="002B2A36" w:rsidRDefault="00AF6DD1" w:rsidP="00B1495C">
      <w:pPr>
        <w:jc w:val="both"/>
        <w:rPr>
          <w:rFonts w:ascii="Times New Roman" w:hAnsi="Times New Roman" w:cs="Times New Roman"/>
          <w:b/>
          <w:sz w:val="28"/>
          <w:szCs w:val="28"/>
          <w:lang w:val="en-US"/>
        </w:rPr>
      </w:pPr>
      <w:r w:rsidRPr="002B2A36">
        <w:rPr>
          <w:rFonts w:ascii="Times New Roman" w:hAnsi="Times New Roman" w:cs="Times New Roman"/>
          <w:b/>
          <w:sz w:val="28"/>
          <w:szCs w:val="28"/>
          <w:lang w:val="en-US"/>
        </w:rPr>
        <w:t>Keywords</w:t>
      </w:r>
    </w:p>
    <w:p w:rsidR="00AF6DD1" w:rsidRPr="002B2A36" w:rsidRDefault="00AF6DD1" w:rsidP="00B1495C">
      <w:pPr>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 xml:space="preserve">The Eurasian Economic Union, </w:t>
      </w:r>
      <w:r w:rsidR="00E00F5C" w:rsidRPr="002B2A36">
        <w:rPr>
          <w:rFonts w:ascii="Times New Roman" w:hAnsi="Times New Roman" w:cs="Times New Roman"/>
          <w:sz w:val="28"/>
          <w:szCs w:val="28"/>
          <w:lang w:val="en-US"/>
        </w:rPr>
        <w:t>the E</w:t>
      </w:r>
      <w:r w:rsidR="008E4766" w:rsidRPr="002B2A36">
        <w:rPr>
          <w:rFonts w:ascii="Times New Roman" w:hAnsi="Times New Roman" w:cs="Times New Roman"/>
          <w:sz w:val="28"/>
          <w:szCs w:val="28"/>
          <w:lang w:val="en-US"/>
        </w:rPr>
        <w:t>A</w:t>
      </w:r>
      <w:r w:rsidR="00E00F5C" w:rsidRPr="002B2A36">
        <w:rPr>
          <w:rFonts w:ascii="Times New Roman" w:hAnsi="Times New Roman" w:cs="Times New Roman"/>
          <w:sz w:val="28"/>
          <w:szCs w:val="28"/>
          <w:lang w:val="en-US"/>
        </w:rPr>
        <w:t xml:space="preserve">EU, </w:t>
      </w:r>
      <w:r w:rsidRPr="002B2A36">
        <w:rPr>
          <w:rFonts w:ascii="Times New Roman" w:hAnsi="Times New Roman" w:cs="Times New Roman"/>
          <w:sz w:val="28"/>
          <w:szCs w:val="28"/>
          <w:lang w:val="en-US"/>
        </w:rPr>
        <w:t>regional integration, regional value chains, trade facilitation</w:t>
      </w:r>
      <w:r w:rsidR="00E00F5C" w:rsidRPr="002B2A36">
        <w:rPr>
          <w:rFonts w:ascii="Times New Roman" w:hAnsi="Times New Roman" w:cs="Times New Roman"/>
          <w:sz w:val="28"/>
          <w:szCs w:val="28"/>
          <w:lang w:val="en-US"/>
        </w:rPr>
        <w:t>, asymmetric integration</w:t>
      </w:r>
      <w:r w:rsidRPr="002B2A36">
        <w:rPr>
          <w:rFonts w:ascii="Times New Roman" w:hAnsi="Times New Roman" w:cs="Times New Roman"/>
          <w:sz w:val="28"/>
          <w:szCs w:val="28"/>
          <w:lang w:val="en-US"/>
        </w:rPr>
        <w:t>.</w:t>
      </w:r>
    </w:p>
    <w:p w:rsidR="009D372E" w:rsidRPr="002B2A36" w:rsidRDefault="009D372E" w:rsidP="00AF6DD1">
      <w:pPr>
        <w:rPr>
          <w:rFonts w:ascii="Times New Roman" w:hAnsi="Times New Roman" w:cs="Times New Roman"/>
          <w:b/>
          <w:sz w:val="28"/>
          <w:szCs w:val="28"/>
          <w:lang w:val="en-US"/>
        </w:rPr>
      </w:pPr>
    </w:p>
    <w:p w:rsidR="00AF6DD1" w:rsidRPr="000E523D" w:rsidRDefault="00AF6DD1" w:rsidP="00AF6DD1">
      <w:pPr>
        <w:rPr>
          <w:rFonts w:ascii="Times New Roman" w:hAnsi="Times New Roman" w:cs="Times New Roman"/>
          <w:b/>
          <w:sz w:val="32"/>
          <w:szCs w:val="32"/>
          <w:lang w:val="en-US"/>
        </w:rPr>
      </w:pPr>
      <w:r w:rsidRPr="000E523D">
        <w:rPr>
          <w:rFonts w:ascii="Times New Roman" w:hAnsi="Times New Roman" w:cs="Times New Roman"/>
          <w:b/>
          <w:sz w:val="32"/>
          <w:szCs w:val="32"/>
          <w:lang w:val="en-US"/>
        </w:rPr>
        <w:t>Introduction</w:t>
      </w:r>
    </w:p>
    <w:p w:rsidR="00183605" w:rsidRPr="002B2A36" w:rsidRDefault="00157CD0" w:rsidP="009D5E95">
      <w:pPr>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On the 29</w:t>
      </w:r>
      <w:r w:rsidRPr="002B2A36">
        <w:rPr>
          <w:rFonts w:ascii="Times New Roman" w:hAnsi="Times New Roman" w:cs="Times New Roman"/>
          <w:sz w:val="28"/>
          <w:szCs w:val="28"/>
          <w:vertAlign w:val="superscript"/>
          <w:lang w:val="en-US"/>
        </w:rPr>
        <w:t>th</w:t>
      </w:r>
      <w:r w:rsidRPr="002B2A36">
        <w:rPr>
          <w:rFonts w:ascii="Times New Roman" w:hAnsi="Times New Roman" w:cs="Times New Roman"/>
          <w:sz w:val="28"/>
          <w:szCs w:val="28"/>
          <w:lang w:val="en-US"/>
        </w:rPr>
        <w:t xml:space="preserve"> of May, 2014 a treaty of </w:t>
      </w:r>
      <w:r w:rsidR="009D5E95" w:rsidRPr="002B2A36">
        <w:rPr>
          <w:rFonts w:ascii="Times New Roman" w:hAnsi="Times New Roman" w:cs="Times New Roman"/>
          <w:sz w:val="28"/>
          <w:szCs w:val="28"/>
          <w:lang w:val="en-US"/>
        </w:rPr>
        <w:t xml:space="preserve">establishing the Eurasian Economic Union </w:t>
      </w:r>
      <w:r w:rsidR="006C5501" w:rsidRPr="002B2A36">
        <w:rPr>
          <w:rFonts w:ascii="Times New Roman" w:hAnsi="Times New Roman" w:cs="Times New Roman"/>
          <w:sz w:val="28"/>
          <w:szCs w:val="28"/>
          <w:lang w:val="en-US"/>
        </w:rPr>
        <w:t xml:space="preserve">(EAEU) </w:t>
      </w:r>
      <w:r w:rsidR="009D5E95" w:rsidRPr="002B2A36">
        <w:rPr>
          <w:rFonts w:ascii="Times New Roman" w:hAnsi="Times New Roman" w:cs="Times New Roman"/>
          <w:sz w:val="28"/>
          <w:szCs w:val="28"/>
          <w:lang w:val="en-US"/>
        </w:rPr>
        <w:t xml:space="preserve">was passed. </w:t>
      </w:r>
      <w:r w:rsidR="00F627E9" w:rsidRPr="002B2A36">
        <w:rPr>
          <w:rFonts w:ascii="Times New Roman" w:hAnsi="Times New Roman" w:cs="Times New Roman"/>
          <w:sz w:val="28"/>
          <w:szCs w:val="28"/>
          <w:lang w:val="en-US"/>
        </w:rPr>
        <w:t xml:space="preserve">Republic of Belarus, Republic of Kazakhstan and Russian Federation ratified the agreement. </w:t>
      </w:r>
      <w:r w:rsidR="009D5E95" w:rsidRPr="002B2A36">
        <w:rPr>
          <w:rFonts w:ascii="Times New Roman" w:hAnsi="Times New Roman" w:cs="Times New Roman"/>
          <w:sz w:val="28"/>
          <w:szCs w:val="28"/>
          <w:lang w:val="en-US"/>
        </w:rPr>
        <w:t xml:space="preserve">On the 1st of January, 2015 the Treaty came into force. </w:t>
      </w:r>
      <w:r w:rsidR="006C5501" w:rsidRPr="002B2A36">
        <w:rPr>
          <w:rFonts w:ascii="Times New Roman" w:hAnsi="Times New Roman" w:cs="Times New Roman"/>
          <w:sz w:val="28"/>
          <w:szCs w:val="28"/>
          <w:lang w:val="en-US"/>
        </w:rPr>
        <w:t>Already on the 2</w:t>
      </w:r>
      <w:r w:rsidR="006C5501" w:rsidRPr="002B2A36">
        <w:rPr>
          <w:rFonts w:ascii="Times New Roman" w:hAnsi="Times New Roman" w:cs="Times New Roman"/>
          <w:sz w:val="28"/>
          <w:szCs w:val="28"/>
          <w:vertAlign w:val="superscript"/>
          <w:lang w:val="en-US"/>
        </w:rPr>
        <w:t>nd</w:t>
      </w:r>
      <w:r w:rsidR="006C5501" w:rsidRPr="002B2A36">
        <w:rPr>
          <w:rFonts w:ascii="Times New Roman" w:hAnsi="Times New Roman" w:cs="Times New Roman"/>
          <w:sz w:val="28"/>
          <w:szCs w:val="28"/>
          <w:lang w:val="en-US"/>
        </w:rPr>
        <w:t xml:space="preserve"> of January, 2015 Republic of Armenia “joined the club”. Kyrgyz Republic announced that it is also would like to become a member of the Union</w:t>
      </w:r>
      <w:r w:rsidR="00E67C2F" w:rsidRPr="002B2A36">
        <w:rPr>
          <w:rFonts w:ascii="Times New Roman" w:hAnsi="Times New Roman" w:cs="Times New Roman"/>
          <w:sz w:val="28"/>
          <w:szCs w:val="28"/>
          <w:lang w:val="en-US"/>
        </w:rPr>
        <w:t xml:space="preserve"> in the nearest future</w:t>
      </w:r>
      <w:r w:rsidR="006C5501" w:rsidRPr="002B2A36">
        <w:rPr>
          <w:rFonts w:ascii="Times New Roman" w:hAnsi="Times New Roman" w:cs="Times New Roman"/>
          <w:sz w:val="28"/>
          <w:szCs w:val="28"/>
          <w:lang w:val="en-US"/>
        </w:rPr>
        <w:t xml:space="preserve">. </w:t>
      </w:r>
      <w:r w:rsidR="00B81F3F" w:rsidRPr="002B2A36">
        <w:rPr>
          <w:rFonts w:ascii="Times New Roman" w:hAnsi="Times New Roman" w:cs="Times New Roman"/>
          <w:sz w:val="28"/>
          <w:szCs w:val="28"/>
          <w:lang w:val="en-US"/>
        </w:rPr>
        <w:t>At the moment it unifies a huge market with more than 170 million inhabitants.</w:t>
      </w:r>
    </w:p>
    <w:p w:rsidR="003360EA" w:rsidRPr="002B2A36" w:rsidRDefault="003360EA" w:rsidP="003360EA">
      <w:pPr>
        <w:rPr>
          <w:rFonts w:ascii="Times New Roman" w:hAnsi="Times New Roman" w:cs="Times New Roman"/>
          <w:sz w:val="28"/>
          <w:szCs w:val="28"/>
          <w:lang w:val="en-US"/>
        </w:rPr>
      </w:pPr>
      <w:r w:rsidRPr="002B2A36">
        <w:rPr>
          <w:rFonts w:ascii="Times New Roman" w:hAnsi="Times New Roman" w:cs="Times New Roman"/>
          <w:sz w:val="28"/>
          <w:szCs w:val="28"/>
          <w:lang w:val="en-US"/>
        </w:rPr>
        <w:t>The paper is based on the initial hypotheses of:</w:t>
      </w:r>
    </w:p>
    <w:p w:rsidR="003360EA" w:rsidRPr="002B2A36" w:rsidRDefault="003360EA" w:rsidP="003360EA">
      <w:pPr>
        <w:pStyle w:val="a6"/>
        <w:numPr>
          <w:ilvl w:val="0"/>
          <w:numId w:val="1"/>
        </w:numPr>
        <w:rPr>
          <w:rFonts w:ascii="Times New Roman" w:hAnsi="Times New Roman" w:cs="Times New Roman"/>
          <w:sz w:val="28"/>
          <w:szCs w:val="28"/>
          <w:lang w:val="en-US"/>
        </w:rPr>
      </w:pPr>
      <w:r w:rsidRPr="002B2A36">
        <w:rPr>
          <w:rFonts w:ascii="Times New Roman" w:hAnsi="Times New Roman" w:cs="Times New Roman"/>
          <w:sz w:val="28"/>
          <w:szCs w:val="28"/>
          <w:lang w:val="en-US"/>
        </w:rPr>
        <w:lastRenderedPageBreak/>
        <w:t>ambiguous interdependence between international trade and investments;</w:t>
      </w:r>
    </w:p>
    <w:p w:rsidR="002F02CA" w:rsidRPr="002B2A36" w:rsidRDefault="003360EA" w:rsidP="003360EA">
      <w:pPr>
        <w:pStyle w:val="a6"/>
        <w:numPr>
          <w:ilvl w:val="0"/>
          <w:numId w:val="1"/>
        </w:numPr>
        <w:rPr>
          <w:rFonts w:ascii="Times New Roman" w:hAnsi="Times New Roman" w:cs="Times New Roman"/>
          <w:sz w:val="28"/>
          <w:szCs w:val="28"/>
          <w:lang w:val="en-US"/>
        </w:rPr>
      </w:pPr>
      <w:r w:rsidRPr="002B2A36">
        <w:rPr>
          <w:rFonts w:ascii="Times New Roman" w:hAnsi="Times New Roman" w:cs="Times New Roman"/>
          <w:sz w:val="28"/>
          <w:szCs w:val="28"/>
          <w:lang w:val="en-US"/>
        </w:rPr>
        <w:t>trade facilitation within regional trade agreements tends to generate additional trade-diversion and trade-creation effects</w:t>
      </w:r>
    </w:p>
    <w:p w:rsidR="003360EA" w:rsidRPr="002B2A36" w:rsidRDefault="003360EA" w:rsidP="002F02CA">
      <w:pPr>
        <w:spacing w:before="240"/>
        <w:rPr>
          <w:rFonts w:ascii="Times New Roman" w:hAnsi="Times New Roman" w:cs="Times New Roman"/>
          <w:b/>
          <w:sz w:val="28"/>
          <w:szCs w:val="28"/>
          <w:lang w:val="en-US"/>
        </w:rPr>
      </w:pPr>
    </w:p>
    <w:p w:rsidR="002F02CA" w:rsidRPr="000E523D" w:rsidRDefault="002F02CA" w:rsidP="002F02CA">
      <w:pPr>
        <w:spacing w:before="240"/>
        <w:rPr>
          <w:rFonts w:ascii="Times New Roman" w:hAnsi="Times New Roman" w:cs="Times New Roman"/>
          <w:b/>
          <w:sz w:val="32"/>
          <w:szCs w:val="32"/>
          <w:lang w:val="en-US"/>
        </w:rPr>
      </w:pPr>
      <w:r w:rsidRPr="000E523D">
        <w:rPr>
          <w:rFonts w:ascii="Times New Roman" w:hAnsi="Times New Roman" w:cs="Times New Roman"/>
          <w:b/>
          <w:sz w:val="32"/>
          <w:szCs w:val="32"/>
          <w:lang w:val="en-US"/>
        </w:rPr>
        <w:t>The EAEU Treaty: key issues</w:t>
      </w:r>
    </w:p>
    <w:p w:rsidR="00157CD0" w:rsidRPr="002B2A36" w:rsidRDefault="0089178B" w:rsidP="009D5E95">
      <w:pPr>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 xml:space="preserve">As its predecessor – the </w:t>
      </w:r>
      <w:r w:rsidR="00D5595B" w:rsidRPr="002B2A36">
        <w:rPr>
          <w:rFonts w:ascii="Times New Roman" w:hAnsi="Times New Roman" w:cs="Times New Roman"/>
          <w:sz w:val="28"/>
          <w:szCs w:val="28"/>
          <w:lang w:val="en-US"/>
        </w:rPr>
        <w:t>Customs Union of Russia, Belarus and Kazakhstan (</w:t>
      </w:r>
      <w:r w:rsidRPr="002B2A36">
        <w:rPr>
          <w:rFonts w:ascii="Times New Roman" w:hAnsi="Times New Roman" w:cs="Times New Roman"/>
          <w:sz w:val="28"/>
          <w:szCs w:val="28"/>
          <w:lang w:val="en-US"/>
        </w:rPr>
        <w:t>RBK CU</w:t>
      </w:r>
      <w:r w:rsidR="00D5595B" w:rsidRPr="002B2A36">
        <w:rPr>
          <w:rFonts w:ascii="Times New Roman" w:hAnsi="Times New Roman" w:cs="Times New Roman"/>
          <w:sz w:val="28"/>
          <w:szCs w:val="28"/>
          <w:lang w:val="en-US"/>
        </w:rPr>
        <w:t>)</w:t>
      </w:r>
      <w:r w:rsidRPr="002B2A36">
        <w:rPr>
          <w:rStyle w:val="a5"/>
          <w:rFonts w:ascii="Times New Roman" w:hAnsi="Times New Roman" w:cs="Times New Roman"/>
          <w:sz w:val="28"/>
          <w:szCs w:val="28"/>
          <w:lang w:val="en-US"/>
        </w:rPr>
        <w:footnoteReference w:id="2"/>
      </w:r>
      <w:r w:rsidRPr="002B2A36">
        <w:rPr>
          <w:rFonts w:ascii="Times New Roman" w:hAnsi="Times New Roman" w:cs="Times New Roman"/>
          <w:sz w:val="28"/>
          <w:szCs w:val="28"/>
          <w:lang w:val="en-US"/>
        </w:rPr>
        <w:t xml:space="preserve">, a new regional integration block is built in a classical form of the </w:t>
      </w:r>
      <w:r w:rsidR="00D5595B" w:rsidRPr="002B2A36">
        <w:rPr>
          <w:rFonts w:ascii="Times New Roman" w:hAnsi="Times New Roman" w:cs="Times New Roman"/>
          <w:sz w:val="28"/>
          <w:szCs w:val="28"/>
          <w:lang w:val="en-US"/>
        </w:rPr>
        <w:t xml:space="preserve">CU </w:t>
      </w:r>
      <w:r w:rsidRPr="002B2A36">
        <w:rPr>
          <w:rFonts w:ascii="Times New Roman" w:hAnsi="Times New Roman" w:cs="Times New Roman"/>
          <w:sz w:val="28"/>
          <w:szCs w:val="28"/>
          <w:lang w:val="en-US"/>
        </w:rPr>
        <w:t>with common customs tariffs, trade regime and free movement of goods between the territories of the Member States.</w:t>
      </w:r>
      <w:r w:rsidR="00435A93" w:rsidRPr="002B2A36">
        <w:rPr>
          <w:rFonts w:ascii="Times New Roman" w:hAnsi="Times New Roman" w:cs="Times New Roman"/>
          <w:sz w:val="28"/>
          <w:szCs w:val="28"/>
          <w:lang w:val="en-US"/>
        </w:rPr>
        <w:t xml:space="preserve"> </w:t>
      </w:r>
      <w:r w:rsidR="0060668B" w:rsidRPr="002B2A36">
        <w:rPr>
          <w:rFonts w:ascii="Times New Roman" w:hAnsi="Times New Roman" w:cs="Times New Roman"/>
          <w:sz w:val="28"/>
          <w:szCs w:val="28"/>
          <w:lang w:val="en-US"/>
        </w:rPr>
        <w:t>In addition to key features of the CUs, c</w:t>
      </w:r>
      <w:r w:rsidR="00435A93" w:rsidRPr="002B2A36">
        <w:rPr>
          <w:rFonts w:ascii="Times New Roman" w:hAnsi="Times New Roman" w:cs="Times New Roman"/>
          <w:sz w:val="28"/>
          <w:szCs w:val="28"/>
          <w:lang w:val="en-US"/>
        </w:rPr>
        <w:t xml:space="preserve">ountries should also coordinate their economic policies in the </w:t>
      </w:r>
      <w:r w:rsidR="0060668B" w:rsidRPr="002B2A36">
        <w:rPr>
          <w:rFonts w:ascii="Times New Roman" w:hAnsi="Times New Roman" w:cs="Times New Roman"/>
          <w:sz w:val="28"/>
          <w:szCs w:val="28"/>
          <w:lang w:val="en-US"/>
        </w:rPr>
        <w:t>main economic fields: industrial production, agriculture, energy, and transportation.</w:t>
      </w:r>
    </w:p>
    <w:p w:rsidR="009D5E95" w:rsidRPr="002B2A36" w:rsidRDefault="0060668B" w:rsidP="009D5E95">
      <w:pPr>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 xml:space="preserve">The agreement </w:t>
      </w:r>
      <w:r w:rsidRPr="002B2A36">
        <w:rPr>
          <w:rFonts w:ascii="Times New Roman" w:hAnsi="Times New Roman" w:cs="Times New Roman"/>
          <w:i/>
          <w:sz w:val="28"/>
          <w:szCs w:val="28"/>
          <w:lang w:val="en-US"/>
        </w:rPr>
        <w:t>per se</w:t>
      </w:r>
      <w:r w:rsidRPr="002B2A36">
        <w:rPr>
          <w:rFonts w:ascii="Times New Roman" w:hAnsi="Times New Roman" w:cs="Times New Roman"/>
          <w:sz w:val="28"/>
          <w:szCs w:val="28"/>
          <w:lang w:val="en-US"/>
        </w:rPr>
        <w:t xml:space="preserve"> contains understanding of challenges faced by the </w:t>
      </w:r>
      <w:r w:rsidR="004371A7" w:rsidRPr="002B2A36">
        <w:rPr>
          <w:rFonts w:ascii="Times New Roman" w:hAnsi="Times New Roman" w:cs="Times New Roman"/>
          <w:sz w:val="28"/>
          <w:szCs w:val="28"/>
          <w:lang w:val="en-US"/>
        </w:rPr>
        <w:t xml:space="preserve">members the EAEU. </w:t>
      </w:r>
      <w:r w:rsidR="009D5E95" w:rsidRPr="002B2A36">
        <w:rPr>
          <w:rFonts w:ascii="Times New Roman" w:hAnsi="Times New Roman" w:cs="Times New Roman"/>
          <w:sz w:val="28"/>
          <w:szCs w:val="28"/>
          <w:lang w:val="en-US"/>
        </w:rPr>
        <w:t xml:space="preserve">Article 4 of the agreement identifies main objectives of the Union: to create proper conditions for sustainable economic development of the Member States in order to improve the living standards of their population; to seek the creation of a common market for goods, services, capital and </w:t>
      </w:r>
      <w:r w:rsidR="001C5C5C" w:rsidRPr="002B2A36">
        <w:rPr>
          <w:rFonts w:ascii="Times New Roman" w:hAnsi="Times New Roman" w:cs="Times New Roman"/>
          <w:sz w:val="28"/>
          <w:szCs w:val="28"/>
          <w:lang w:val="en-US"/>
        </w:rPr>
        <w:t>labor</w:t>
      </w:r>
      <w:r w:rsidR="009D5E95" w:rsidRPr="002B2A36">
        <w:rPr>
          <w:rFonts w:ascii="Times New Roman" w:hAnsi="Times New Roman" w:cs="Times New Roman"/>
          <w:sz w:val="28"/>
          <w:szCs w:val="28"/>
          <w:lang w:val="en-US"/>
        </w:rPr>
        <w:t xml:space="preserve"> within the Union; </w:t>
      </w:r>
      <w:r w:rsidR="001C5C5C" w:rsidRPr="002B2A36">
        <w:rPr>
          <w:rFonts w:ascii="Times New Roman" w:hAnsi="Times New Roman" w:cs="Times New Roman"/>
          <w:sz w:val="28"/>
          <w:szCs w:val="28"/>
          <w:lang w:val="en-US"/>
        </w:rPr>
        <w:t xml:space="preserve">and </w:t>
      </w:r>
      <w:r w:rsidR="009D5E95" w:rsidRPr="002B2A36">
        <w:rPr>
          <w:rFonts w:ascii="Times New Roman" w:hAnsi="Times New Roman" w:cs="Times New Roman"/>
          <w:sz w:val="28"/>
          <w:szCs w:val="28"/>
          <w:lang w:val="en-US"/>
        </w:rPr>
        <w:t xml:space="preserve">to ensure comprehensive </w:t>
      </w:r>
      <w:r w:rsidR="001C5C5C" w:rsidRPr="002B2A36">
        <w:rPr>
          <w:rFonts w:ascii="Times New Roman" w:hAnsi="Times New Roman" w:cs="Times New Roman"/>
          <w:sz w:val="28"/>
          <w:szCs w:val="28"/>
          <w:lang w:val="en-US"/>
        </w:rPr>
        <w:t>modernization</w:t>
      </w:r>
      <w:r w:rsidR="009D5E95" w:rsidRPr="002B2A36">
        <w:rPr>
          <w:rFonts w:ascii="Times New Roman" w:hAnsi="Times New Roman" w:cs="Times New Roman"/>
          <w:sz w:val="28"/>
          <w:szCs w:val="28"/>
          <w:lang w:val="en-US"/>
        </w:rPr>
        <w:t>, cooperation and competitiveness of national economies within the global economy</w:t>
      </w:r>
      <w:r w:rsidR="001C5C5C" w:rsidRPr="002B2A36">
        <w:rPr>
          <w:rStyle w:val="a5"/>
          <w:rFonts w:ascii="Times New Roman" w:hAnsi="Times New Roman" w:cs="Times New Roman"/>
          <w:sz w:val="28"/>
          <w:szCs w:val="28"/>
          <w:lang w:val="en-US"/>
        </w:rPr>
        <w:footnoteReference w:id="3"/>
      </w:r>
      <w:r w:rsidR="009D5E95" w:rsidRPr="002B2A36">
        <w:rPr>
          <w:rFonts w:ascii="Times New Roman" w:hAnsi="Times New Roman" w:cs="Times New Roman"/>
          <w:sz w:val="28"/>
          <w:szCs w:val="28"/>
          <w:lang w:val="en-US"/>
        </w:rPr>
        <w:t>.</w:t>
      </w:r>
      <w:r w:rsidR="001C5C5C" w:rsidRPr="002B2A36">
        <w:rPr>
          <w:rFonts w:ascii="Times New Roman" w:hAnsi="Times New Roman" w:cs="Times New Roman"/>
          <w:sz w:val="28"/>
          <w:szCs w:val="28"/>
          <w:lang w:val="en-US"/>
        </w:rPr>
        <w:t xml:space="preserve"> In the Preamble of the treaty it is stated that parties are driven by “the urge to strengthen the economies of the Member States of the Eurasian Economic Union and to ensure their balanced development, convergence, steady growth in business activity, balanced trade and fair competition”</w:t>
      </w:r>
      <w:r w:rsidR="00A41FCE" w:rsidRPr="002B2A36">
        <w:rPr>
          <w:rStyle w:val="a5"/>
          <w:rFonts w:ascii="Times New Roman" w:hAnsi="Times New Roman" w:cs="Times New Roman"/>
          <w:sz w:val="28"/>
          <w:szCs w:val="28"/>
          <w:lang w:val="en-US"/>
        </w:rPr>
        <w:footnoteReference w:id="4"/>
      </w:r>
      <w:r w:rsidR="001C5C5C" w:rsidRPr="002B2A36">
        <w:rPr>
          <w:rFonts w:ascii="Times New Roman" w:hAnsi="Times New Roman" w:cs="Times New Roman"/>
          <w:sz w:val="28"/>
          <w:szCs w:val="28"/>
          <w:lang w:val="en-US"/>
        </w:rPr>
        <w:t xml:space="preserve">. </w:t>
      </w:r>
      <w:r w:rsidR="0089178B" w:rsidRPr="002B2A36">
        <w:rPr>
          <w:rFonts w:ascii="Times New Roman" w:hAnsi="Times New Roman" w:cs="Times New Roman"/>
          <w:sz w:val="28"/>
          <w:szCs w:val="28"/>
          <w:lang w:val="en-US"/>
        </w:rPr>
        <w:t>Participants</w:t>
      </w:r>
      <w:r w:rsidR="00A41FCE" w:rsidRPr="002B2A36">
        <w:rPr>
          <w:rFonts w:ascii="Times New Roman" w:hAnsi="Times New Roman" w:cs="Times New Roman"/>
          <w:sz w:val="28"/>
          <w:szCs w:val="28"/>
          <w:lang w:val="en-US"/>
        </w:rPr>
        <w:t xml:space="preserve"> also realize that they are facing common problems “with regard to sustainable economic development”</w:t>
      </w:r>
      <w:r w:rsidR="00A41FCE" w:rsidRPr="002B2A36">
        <w:rPr>
          <w:rStyle w:val="a5"/>
          <w:rFonts w:ascii="Times New Roman" w:hAnsi="Times New Roman" w:cs="Times New Roman"/>
          <w:sz w:val="28"/>
          <w:szCs w:val="28"/>
          <w:lang w:val="en-US"/>
        </w:rPr>
        <w:footnoteReference w:id="5"/>
      </w:r>
      <w:r w:rsidR="00A41FCE" w:rsidRPr="002B2A36">
        <w:rPr>
          <w:rFonts w:ascii="Times New Roman" w:hAnsi="Times New Roman" w:cs="Times New Roman"/>
          <w:sz w:val="28"/>
          <w:szCs w:val="28"/>
          <w:lang w:val="en-US"/>
        </w:rPr>
        <w:t>.</w:t>
      </w:r>
    </w:p>
    <w:p w:rsidR="0047588F" w:rsidRPr="002B2A36" w:rsidRDefault="0062118A" w:rsidP="00B97FC8">
      <w:pPr>
        <w:pStyle w:val="Default"/>
        <w:spacing w:after="200"/>
        <w:jc w:val="both"/>
        <w:rPr>
          <w:sz w:val="28"/>
          <w:szCs w:val="28"/>
          <w:lang w:val="en-US"/>
        </w:rPr>
      </w:pPr>
      <w:r w:rsidRPr="002B2A36">
        <w:rPr>
          <w:sz w:val="28"/>
          <w:szCs w:val="28"/>
          <w:lang w:val="en-US"/>
        </w:rPr>
        <w:t xml:space="preserve">The Treaty contains provisions on common efforts devoted to development of a single economic space (Art. 28) with free movement </w:t>
      </w:r>
      <w:r w:rsidR="0089178B" w:rsidRPr="002B2A36">
        <w:rPr>
          <w:sz w:val="28"/>
          <w:szCs w:val="28"/>
          <w:lang w:val="en-US"/>
        </w:rPr>
        <w:t xml:space="preserve">(with some exceptions) </w:t>
      </w:r>
      <w:r w:rsidRPr="002B2A36">
        <w:rPr>
          <w:sz w:val="28"/>
          <w:szCs w:val="28"/>
          <w:lang w:val="en-US"/>
        </w:rPr>
        <w:t>of goods, persons, services and capital; infrastructure development (Art. 27)</w:t>
      </w:r>
      <w:r w:rsidR="00315A2C" w:rsidRPr="002B2A36">
        <w:rPr>
          <w:sz w:val="28"/>
          <w:szCs w:val="28"/>
          <w:lang w:val="en-US"/>
        </w:rPr>
        <w:t xml:space="preserve"> </w:t>
      </w:r>
      <w:r w:rsidR="00180F19" w:rsidRPr="002B2A36">
        <w:rPr>
          <w:sz w:val="28"/>
          <w:szCs w:val="28"/>
          <w:lang w:val="en-US"/>
        </w:rPr>
        <w:t>–</w:t>
      </w:r>
      <w:r w:rsidR="00315A2C" w:rsidRPr="002B2A36">
        <w:rPr>
          <w:sz w:val="28"/>
          <w:szCs w:val="28"/>
          <w:lang w:val="en-US"/>
        </w:rPr>
        <w:t xml:space="preserve"> Establishing and Functioning of Free (Special) Economic Areas and Free Warehouses</w:t>
      </w:r>
      <w:r w:rsidR="00F43D1C" w:rsidRPr="002B2A36">
        <w:rPr>
          <w:sz w:val="28"/>
          <w:szCs w:val="28"/>
          <w:lang w:val="en-US"/>
        </w:rPr>
        <w:t>. A special section is devoted to the Establishing a Common Market of Medicines, medical products</w:t>
      </w:r>
      <w:r w:rsidR="00F43D1C" w:rsidRPr="002B2A36">
        <w:rPr>
          <w:rStyle w:val="a5"/>
          <w:sz w:val="28"/>
          <w:szCs w:val="28"/>
          <w:lang w:val="en-US"/>
        </w:rPr>
        <w:footnoteReference w:id="6"/>
      </w:r>
      <w:r w:rsidR="00F43D1C" w:rsidRPr="002B2A36">
        <w:rPr>
          <w:sz w:val="28"/>
          <w:szCs w:val="28"/>
          <w:lang w:val="en-US"/>
        </w:rPr>
        <w:t>. General provisions on foreign policy are described in Section IX, including objectives, principles, MFN treatment application, tariff preferences</w:t>
      </w:r>
      <w:r w:rsidR="00765911" w:rsidRPr="002B2A36">
        <w:rPr>
          <w:sz w:val="28"/>
          <w:szCs w:val="28"/>
          <w:lang w:val="en-US"/>
        </w:rPr>
        <w:t xml:space="preserve"> in Respect of Goods Originating from Developing and/or Least </w:t>
      </w:r>
      <w:r w:rsidR="00765911" w:rsidRPr="002B2A36">
        <w:rPr>
          <w:sz w:val="28"/>
          <w:szCs w:val="28"/>
          <w:lang w:val="en-US"/>
        </w:rPr>
        <w:lastRenderedPageBreak/>
        <w:t>Developed Countries</w:t>
      </w:r>
      <w:r w:rsidR="00F43D1C" w:rsidRPr="002B2A36">
        <w:rPr>
          <w:sz w:val="28"/>
          <w:szCs w:val="28"/>
          <w:lang w:val="en-US"/>
        </w:rPr>
        <w:t xml:space="preserve">, </w:t>
      </w:r>
      <w:r w:rsidR="00900744" w:rsidRPr="002B2A36">
        <w:rPr>
          <w:sz w:val="28"/>
          <w:szCs w:val="28"/>
          <w:lang w:val="en-US"/>
        </w:rPr>
        <w:t xml:space="preserve">trade remedies, </w:t>
      </w:r>
      <w:r w:rsidR="00F43D1C" w:rsidRPr="002B2A36">
        <w:rPr>
          <w:sz w:val="28"/>
          <w:szCs w:val="28"/>
          <w:lang w:val="en-US"/>
        </w:rPr>
        <w:t>etc</w:t>
      </w:r>
      <w:r w:rsidR="00F43D1C" w:rsidRPr="002B2A36">
        <w:rPr>
          <w:rStyle w:val="a5"/>
          <w:sz w:val="28"/>
          <w:szCs w:val="28"/>
          <w:lang w:val="en-US"/>
        </w:rPr>
        <w:footnoteReference w:id="7"/>
      </w:r>
      <w:r w:rsidR="00F43D1C" w:rsidRPr="002B2A36">
        <w:rPr>
          <w:rStyle w:val="a5"/>
          <w:sz w:val="28"/>
          <w:szCs w:val="28"/>
          <w:vertAlign w:val="baseline"/>
          <w:lang w:val="en-US"/>
        </w:rPr>
        <w:t>.</w:t>
      </w:r>
      <w:r w:rsidR="00900744" w:rsidRPr="002B2A36">
        <w:rPr>
          <w:sz w:val="28"/>
          <w:szCs w:val="28"/>
          <w:lang w:val="en-US"/>
        </w:rPr>
        <w:t xml:space="preserve"> Section X establishes </w:t>
      </w:r>
      <w:r w:rsidR="00823F7A" w:rsidRPr="002B2A36">
        <w:rPr>
          <w:sz w:val="28"/>
          <w:szCs w:val="28"/>
          <w:lang w:val="en-US"/>
        </w:rPr>
        <w:t>provisions</w:t>
      </w:r>
      <w:r w:rsidR="00900744" w:rsidRPr="002B2A36">
        <w:rPr>
          <w:sz w:val="28"/>
          <w:szCs w:val="28"/>
          <w:lang w:val="en-US"/>
        </w:rPr>
        <w:t xml:space="preserve"> </w:t>
      </w:r>
      <w:r w:rsidR="00823F7A" w:rsidRPr="002B2A36">
        <w:rPr>
          <w:sz w:val="28"/>
          <w:szCs w:val="28"/>
          <w:lang w:val="en-US"/>
        </w:rPr>
        <w:t>for</w:t>
      </w:r>
      <w:r w:rsidR="00900744" w:rsidRPr="002B2A36">
        <w:rPr>
          <w:sz w:val="28"/>
          <w:szCs w:val="28"/>
          <w:lang w:val="en-US"/>
        </w:rPr>
        <w:t xml:space="preserve"> technical regulation</w:t>
      </w:r>
      <w:r w:rsidR="00823F7A" w:rsidRPr="002B2A36">
        <w:rPr>
          <w:sz w:val="28"/>
          <w:szCs w:val="28"/>
          <w:lang w:val="en-US"/>
        </w:rPr>
        <w:t>, including principles of uniformity in the application of the requirements of the Union’s technical regulations, regardless of types and/or specific features of transactions, harmonization of interstate standards with international and regional standards, and uniformity of rules and procedures for mandatory conformity assessments</w:t>
      </w:r>
      <w:r w:rsidR="00823F7A" w:rsidRPr="002B2A36">
        <w:rPr>
          <w:rStyle w:val="a5"/>
          <w:sz w:val="28"/>
          <w:szCs w:val="28"/>
          <w:lang w:val="en-US"/>
        </w:rPr>
        <w:footnoteReference w:id="8"/>
      </w:r>
      <w:r w:rsidR="00823F7A" w:rsidRPr="002B2A36">
        <w:rPr>
          <w:sz w:val="28"/>
          <w:szCs w:val="28"/>
          <w:lang w:val="en-US"/>
        </w:rPr>
        <w:t>.</w:t>
      </w:r>
      <w:r w:rsidR="00050813" w:rsidRPr="002B2A36">
        <w:rPr>
          <w:sz w:val="28"/>
          <w:szCs w:val="28"/>
          <w:lang w:val="en-US"/>
        </w:rPr>
        <w:t xml:space="preserve"> </w:t>
      </w:r>
      <w:r w:rsidR="00283B70" w:rsidRPr="002B2A36">
        <w:rPr>
          <w:sz w:val="28"/>
          <w:szCs w:val="28"/>
          <w:lang w:val="en-US"/>
        </w:rPr>
        <w:t xml:space="preserve">A following one is devoted to sanitary and phytosanitary measures. </w:t>
      </w:r>
      <w:r w:rsidR="00050813" w:rsidRPr="002B2A36">
        <w:rPr>
          <w:sz w:val="28"/>
          <w:szCs w:val="28"/>
          <w:lang w:val="en-US"/>
        </w:rPr>
        <w:t>Implementation of measures, contained in Section</w:t>
      </w:r>
      <w:r w:rsidR="00283B70" w:rsidRPr="002B2A36">
        <w:rPr>
          <w:sz w:val="28"/>
          <w:szCs w:val="28"/>
          <w:lang w:val="en-US"/>
        </w:rPr>
        <w:t>s</w:t>
      </w:r>
      <w:r w:rsidR="00050813" w:rsidRPr="002B2A36">
        <w:rPr>
          <w:sz w:val="28"/>
          <w:szCs w:val="28"/>
          <w:lang w:val="en-US"/>
        </w:rPr>
        <w:t xml:space="preserve"> X</w:t>
      </w:r>
      <w:r w:rsidR="00283B70" w:rsidRPr="002B2A36">
        <w:rPr>
          <w:sz w:val="28"/>
          <w:szCs w:val="28"/>
          <w:lang w:val="en-US"/>
        </w:rPr>
        <w:t xml:space="preserve"> and XI, would not only influence external trade of the EAEU member states, but facilitate internal economic transactions. </w:t>
      </w:r>
    </w:p>
    <w:p w:rsidR="00283B70" w:rsidRPr="002B2A36" w:rsidRDefault="00283B70" w:rsidP="00B97FC8">
      <w:pPr>
        <w:pStyle w:val="Default"/>
        <w:spacing w:after="200"/>
        <w:jc w:val="both"/>
        <w:rPr>
          <w:sz w:val="28"/>
          <w:szCs w:val="28"/>
          <w:lang w:val="en-US"/>
        </w:rPr>
      </w:pPr>
      <w:r w:rsidRPr="002B2A36">
        <w:rPr>
          <w:sz w:val="28"/>
          <w:szCs w:val="28"/>
          <w:lang w:val="en-US"/>
        </w:rPr>
        <w:t>Provisions on trade in services and investments (Section XV)</w:t>
      </w:r>
      <w:r w:rsidRPr="002B2A36">
        <w:rPr>
          <w:rStyle w:val="a5"/>
          <w:sz w:val="28"/>
          <w:szCs w:val="28"/>
          <w:lang w:val="en-US"/>
        </w:rPr>
        <w:footnoteReference w:id="9"/>
      </w:r>
      <w:r w:rsidRPr="002B2A36">
        <w:rPr>
          <w:sz w:val="28"/>
          <w:szCs w:val="28"/>
          <w:lang w:val="en-US"/>
        </w:rPr>
        <w:t xml:space="preserve"> </w:t>
      </w:r>
      <w:r w:rsidR="00B97FC8" w:rsidRPr="002B2A36">
        <w:rPr>
          <w:sz w:val="28"/>
          <w:szCs w:val="28"/>
          <w:lang w:val="en-US"/>
        </w:rPr>
        <w:t xml:space="preserve">might inspire trade and encourage regional value chains </w:t>
      </w:r>
      <w:r w:rsidR="008E4766" w:rsidRPr="002B2A36">
        <w:rPr>
          <w:sz w:val="28"/>
          <w:szCs w:val="28"/>
          <w:lang w:val="en-US"/>
        </w:rPr>
        <w:t xml:space="preserve">(RVCs) </w:t>
      </w:r>
      <w:r w:rsidR="00B97FC8" w:rsidRPr="002B2A36">
        <w:rPr>
          <w:sz w:val="28"/>
          <w:szCs w:val="28"/>
          <w:lang w:val="en-US"/>
        </w:rPr>
        <w:t>development</w:t>
      </w:r>
      <w:r w:rsidR="00D7578F" w:rsidRPr="002B2A36">
        <w:rPr>
          <w:sz w:val="28"/>
          <w:szCs w:val="28"/>
          <w:lang w:val="en-US"/>
        </w:rPr>
        <w:t xml:space="preserve">, as well as ideas, mentioned in Section XXIV – Manufacturing industry: even though members of the EAEU develop their national industrial policies independently, they might foster industrial cooperation by promoting </w:t>
      </w:r>
      <w:r w:rsidR="00B526B5" w:rsidRPr="002B2A36">
        <w:rPr>
          <w:sz w:val="28"/>
          <w:szCs w:val="28"/>
          <w:lang w:val="en-US"/>
        </w:rPr>
        <w:t>collaboration in creating high-tech, innovative and competitive products, development of joint projects, technology platforms and industrial clusters, conduction of joint research and development activities in order to promote high-tech industries</w:t>
      </w:r>
      <w:r w:rsidR="00B526B5" w:rsidRPr="002B2A36">
        <w:rPr>
          <w:rStyle w:val="a5"/>
          <w:sz w:val="28"/>
          <w:szCs w:val="28"/>
          <w:lang w:val="en-US"/>
        </w:rPr>
        <w:footnoteReference w:id="10"/>
      </w:r>
      <w:r w:rsidR="00B526B5" w:rsidRPr="002B2A36">
        <w:rPr>
          <w:sz w:val="28"/>
          <w:szCs w:val="28"/>
          <w:lang w:val="en-US"/>
        </w:rPr>
        <w:t>.</w:t>
      </w:r>
    </w:p>
    <w:p w:rsidR="0047588F" w:rsidRPr="002B2A36" w:rsidRDefault="0047588F" w:rsidP="006A727A">
      <w:pPr>
        <w:pStyle w:val="Default"/>
        <w:spacing w:after="200"/>
        <w:jc w:val="both"/>
        <w:rPr>
          <w:sz w:val="28"/>
          <w:szCs w:val="28"/>
          <w:lang w:val="en-US"/>
        </w:rPr>
      </w:pPr>
      <w:r w:rsidRPr="002B2A36">
        <w:rPr>
          <w:sz w:val="28"/>
          <w:szCs w:val="28"/>
          <w:lang w:val="en-US"/>
        </w:rPr>
        <w:t>General principles and Rules of competition (Section XVIII), as well as provisions on taxes and taxation (Section XVII) create rules “ensuring detection and elimination of anti-competitive behavior” and “</w:t>
      </w:r>
      <w:r w:rsidR="006A727A" w:rsidRPr="002B2A36">
        <w:rPr>
          <w:sz w:val="28"/>
          <w:szCs w:val="28"/>
          <w:lang w:val="en-US"/>
        </w:rPr>
        <w:t>determine the directions, forms and procedures for the harmonization of legislation in respect of taxes affecting their mutual trade</w:t>
      </w:r>
      <w:r w:rsidRPr="002B2A36">
        <w:rPr>
          <w:sz w:val="28"/>
          <w:szCs w:val="28"/>
          <w:lang w:val="en-US"/>
        </w:rPr>
        <w:t>”</w:t>
      </w:r>
      <w:r w:rsidR="007C154A" w:rsidRPr="002B2A36">
        <w:rPr>
          <w:rStyle w:val="a5"/>
          <w:sz w:val="28"/>
          <w:szCs w:val="28"/>
          <w:lang w:val="en-US"/>
        </w:rPr>
        <w:footnoteReference w:id="11"/>
      </w:r>
      <w:r w:rsidR="006A727A" w:rsidRPr="002B2A36">
        <w:rPr>
          <w:sz w:val="28"/>
          <w:szCs w:val="28"/>
          <w:lang w:val="en-US"/>
        </w:rPr>
        <w:t xml:space="preserve">. </w:t>
      </w:r>
    </w:p>
    <w:p w:rsidR="00157CD0" w:rsidRPr="002B2A36" w:rsidRDefault="00283B70" w:rsidP="006A727A">
      <w:pPr>
        <w:pStyle w:val="Default"/>
        <w:spacing w:after="200"/>
        <w:jc w:val="both"/>
        <w:rPr>
          <w:sz w:val="28"/>
          <w:szCs w:val="28"/>
          <w:lang w:val="en-US"/>
        </w:rPr>
      </w:pPr>
      <w:r w:rsidRPr="002B2A36">
        <w:rPr>
          <w:sz w:val="28"/>
          <w:szCs w:val="28"/>
          <w:lang w:val="en-US"/>
        </w:rPr>
        <w:t xml:space="preserve">Creation of the </w:t>
      </w:r>
      <w:r w:rsidR="007C154A" w:rsidRPr="002B2A36">
        <w:rPr>
          <w:sz w:val="28"/>
          <w:szCs w:val="28"/>
          <w:lang w:val="en-US"/>
        </w:rPr>
        <w:t xml:space="preserve">Eurasian Economic Union </w:t>
      </w:r>
      <w:r w:rsidR="005D10DA" w:rsidRPr="002B2A36">
        <w:rPr>
          <w:sz w:val="28"/>
          <w:szCs w:val="28"/>
          <w:lang w:val="en-US"/>
        </w:rPr>
        <w:t xml:space="preserve">Court </w:t>
      </w:r>
      <w:r w:rsidR="007C154A" w:rsidRPr="002B2A36">
        <w:rPr>
          <w:sz w:val="28"/>
          <w:szCs w:val="28"/>
          <w:lang w:val="en-US"/>
        </w:rPr>
        <w:t>(The Court of the Union), which has to ensure, in accordance with the provisions of its Statute, “uniform application by the Member States and Bodies of the Union of the Treaty, international treaties within the Union, international treaties of the Union with a third party and decisions of the Bodies of the Union”</w:t>
      </w:r>
      <w:r w:rsidR="007C154A" w:rsidRPr="002B2A36">
        <w:rPr>
          <w:rStyle w:val="a5"/>
          <w:sz w:val="28"/>
          <w:szCs w:val="28"/>
          <w:lang w:val="en-US"/>
        </w:rPr>
        <w:footnoteReference w:id="12"/>
      </w:r>
      <w:r w:rsidR="00E00F5C" w:rsidRPr="002B2A36">
        <w:rPr>
          <w:sz w:val="28"/>
          <w:szCs w:val="28"/>
          <w:lang w:val="en-US"/>
        </w:rPr>
        <w:t>, establishes a background for the civilized, impartial dispute settlement between the EAEU countries.</w:t>
      </w:r>
    </w:p>
    <w:p w:rsidR="00EA51C7" w:rsidRPr="002B2A36" w:rsidRDefault="00EA51C7" w:rsidP="006A727A">
      <w:pPr>
        <w:pStyle w:val="Default"/>
        <w:spacing w:after="200"/>
        <w:jc w:val="both"/>
        <w:rPr>
          <w:color w:val="auto"/>
          <w:sz w:val="28"/>
          <w:szCs w:val="28"/>
          <w:lang w:val="en-US"/>
        </w:rPr>
      </w:pPr>
      <w:r w:rsidRPr="002B2A36">
        <w:rPr>
          <w:sz w:val="28"/>
          <w:szCs w:val="28"/>
          <w:lang w:val="en-US"/>
        </w:rPr>
        <w:t xml:space="preserve">All in all, the Treaty on the Eurasian Economic Union is a comprehensive agreement that contains provisions on various direction of trade policy development. </w:t>
      </w:r>
      <w:r w:rsidR="00406983" w:rsidRPr="002B2A36">
        <w:rPr>
          <w:sz w:val="28"/>
          <w:szCs w:val="28"/>
          <w:lang w:val="en-US"/>
        </w:rPr>
        <w:t>It contains understanding of key challenges faced by its members</w:t>
      </w:r>
      <w:r w:rsidR="00A211AA" w:rsidRPr="002B2A36">
        <w:rPr>
          <w:sz w:val="28"/>
          <w:szCs w:val="28"/>
          <w:lang w:val="en-US"/>
        </w:rPr>
        <w:t xml:space="preserve">, as well as </w:t>
      </w:r>
      <w:r w:rsidR="00406983" w:rsidRPr="002B2A36">
        <w:rPr>
          <w:sz w:val="28"/>
          <w:szCs w:val="28"/>
          <w:lang w:val="en-US"/>
        </w:rPr>
        <w:t xml:space="preserve">. </w:t>
      </w:r>
      <w:r w:rsidR="00A211AA" w:rsidRPr="002B2A36">
        <w:rPr>
          <w:sz w:val="28"/>
          <w:szCs w:val="28"/>
          <w:lang w:val="en-US"/>
        </w:rPr>
        <w:t xml:space="preserve">Various provisions of the </w:t>
      </w:r>
      <w:r w:rsidR="008E4766" w:rsidRPr="002B2A36">
        <w:rPr>
          <w:sz w:val="28"/>
          <w:szCs w:val="28"/>
          <w:lang w:val="en-US"/>
        </w:rPr>
        <w:t>document</w:t>
      </w:r>
      <w:r w:rsidR="00A211AA" w:rsidRPr="002B2A36">
        <w:rPr>
          <w:sz w:val="28"/>
          <w:szCs w:val="28"/>
          <w:lang w:val="en-US"/>
        </w:rPr>
        <w:t xml:space="preserve"> might create a background for </w:t>
      </w:r>
      <w:r w:rsidR="008E4766" w:rsidRPr="002B2A36">
        <w:rPr>
          <w:sz w:val="28"/>
          <w:szCs w:val="28"/>
          <w:lang w:val="en-US"/>
        </w:rPr>
        <w:t xml:space="preserve">deeper co-operation between member states, growth of trade and investment flows, rules </w:t>
      </w:r>
      <w:r w:rsidR="008E4766" w:rsidRPr="002B2A36">
        <w:rPr>
          <w:color w:val="auto"/>
          <w:sz w:val="28"/>
          <w:szCs w:val="28"/>
          <w:lang w:val="en-US"/>
        </w:rPr>
        <w:t>harmonization in combination with the</w:t>
      </w:r>
      <w:r w:rsidR="00A211AA" w:rsidRPr="002B2A36">
        <w:rPr>
          <w:color w:val="auto"/>
          <w:sz w:val="28"/>
          <w:szCs w:val="28"/>
          <w:lang w:val="en-US"/>
        </w:rPr>
        <w:t xml:space="preserve"> </w:t>
      </w:r>
      <w:r w:rsidR="008E4766" w:rsidRPr="002B2A36">
        <w:rPr>
          <w:color w:val="auto"/>
          <w:sz w:val="28"/>
          <w:szCs w:val="28"/>
          <w:lang w:val="en-US"/>
        </w:rPr>
        <w:t xml:space="preserve">existing economic and industrial potential </w:t>
      </w:r>
      <w:r w:rsidR="008E4766" w:rsidRPr="002B2A36">
        <w:rPr>
          <w:color w:val="auto"/>
          <w:sz w:val="28"/>
          <w:szCs w:val="28"/>
          <w:lang w:val="en-US"/>
        </w:rPr>
        <w:lastRenderedPageBreak/>
        <w:t xml:space="preserve">of the countries might stimulate regional value chains development. </w:t>
      </w:r>
      <w:r w:rsidRPr="002B2A36">
        <w:rPr>
          <w:color w:val="auto"/>
          <w:sz w:val="28"/>
          <w:szCs w:val="28"/>
          <w:lang w:val="en-US"/>
        </w:rPr>
        <w:t>Now it is necessary to analyze the economic background behind the EAEU project.</w:t>
      </w:r>
    </w:p>
    <w:p w:rsidR="002F02CA" w:rsidRPr="002B2A36" w:rsidRDefault="002F02CA" w:rsidP="006A727A">
      <w:pPr>
        <w:pStyle w:val="Default"/>
        <w:spacing w:after="200"/>
        <w:jc w:val="both"/>
        <w:rPr>
          <w:color w:val="auto"/>
          <w:sz w:val="28"/>
          <w:szCs w:val="28"/>
          <w:lang w:val="en-US"/>
        </w:rPr>
      </w:pPr>
    </w:p>
    <w:p w:rsidR="002F02CA" w:rsidRPr="000E523D" w:rsidRDefault="002F02CA" w:rsidP="002F02CA">
      <w:pPr>
        <w:rPr>
          <w:rFonts w:ascii="Times New Roman" w:hAnsi="Times New Roman" w:cs="Times New Roman"/>
          <w:b/>
          <w:sz w:val="32"/>
          <w:szCs w:val="32"/>
          <w:lang w:val="en-US"/>
        </w:rPr>
      </w:pPr>
      <w:r w:rsidRPr="000E523D">
        <w:rPr>
          <w:rFonts w:ascii="Times New Roman" w:hAnsi="Times New Roman" w:cs="Times New Roman"/>
          <w:b/>
          <w:sz w:val="32"/>
          <w:szCs w:val="32"/>
          <w:lang w:val="en-US"/>
        </w:rPr>
        <w:t xml:space="preserve">Regional trade and investment flows </w:t>
      </w:r>
    </w:p>
    <w:p w:rsidR="002F02CA" w:rsidRPr="002B2A36" w:rsidRDefault="00391140" w:rsidP="00391140">
      <w:pPr>
        <w:spacing w:before="240"/>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 xml:space="preserve">The EAEU is a typical asymmetric CU with clear domination of Russia in the internal trade. </w:t>
      </w:r>
      <w:r w:rsidR="00E40747" w:rsidRPr="002B2A36">
        <w:rPr>
          <w:rFonts w:ascii="Times New Roman" w:hAnsi="Times New Roman" w:cs="Times New Roman"/>
          <w:sz w:val="28"/>
          <w:szCs w:val="28"/>
          <w:lang w:val="en-US"/>
        </w:rPr>
        <w:t xml:space="preserve">The share of Russian Federation </w:t>
      </w:r>
      <w:r w:rsidR="004425B9" w:rsidRPr="002B2A36">
        <w:rPr>
          <w:rFonts w:ascii="Times New Roman" w:hAnsi="Times New Roman" w:cs="Times New Roman"/>
          <w:sz w:val="28"/>
          <w:szCs w:val="28"/>
          <w:lang w:val="en-US"/>
        </w:rPr>
        <w:t xml:space="preserve">in the internal export traditionally </w:t>
      </w:r>
      <w:r w:rsidR="00E40747" w:rsidRPr="002B2A36">
        <w:rPr>
          <w:rFonts w:ascii="Times New Roman" w:hAnsi="Times New Roman" w:cs="Times New Roman"/>
          <w:sz w:val="28"/>
          <w:szCs w:val="28"/>
          <w:lang w:val="en-US"/>
        </w:rPr>
        <w:t>exceeds 60 per cent</w:t>
      </w:r>
      <w:r w:rsidR="004425B9" w:rsidRPr="002B2A36">
        <w:rPr>
          <w:rFonts w:ascii="Times New Roman" w:hAnsi="Times New Roman" w:cs="Times New Roman"/>
          <w:sz w:val="28"/>
          <w:szCs w:val="28"/>
          <w:lang w:val="en-US"/>
        </w:rPr>
        <w:t>, one of Belarus is more than 20 per cent, and the contribution of Kazakhstan is just about 10 per cent</w:t>
      </w:r>
      <w:r w:rsidR="00792D5B" w:rsidRPr="002B2A36">
        <w:rPr>
          <w:rFonts w:ascii="Times New Roman" w:hAnsi="Times New Roman" w:cs="Times New Roman"/>
          <w:sz w:val="28"/>
          <w:szCs w:val="28"/>
          <w:lang w:val="en-US"/>
        </w:rPr>
        <w:t xml:space="preserve"> (Graph 1)</w:t>
      </w:r>
      <w:r w:rsidR="004425B9" w:rsidRPr="002B2A36">
        <w:rPr>
          <w:rFonts w:ascii="Times New Roman" w:hAnsi="Times New Roman" w:cs="Times New Roman"/>
          <w:sz w:val="28"/>
          <w:szCs w:val="28"/>
          <w:lang w:val="en-US"/>
        </w:rPr>
        <w:t xml:space="preserve">. Moreover, Armenian export to the EAEU </w:t>
      </w:r>
      <w:r w:rsidR="00792D5B" w:rsidRPr="002B2A36">
        <w:rPr>
          <w:rFonts w:ascii="Times New Roman" w:hAnsi="Times New Roman" w:cs="Times New Roman"/>
          <w:sz w:val="28"/>
          <w:szCs w:val="28"/>
          <w:lang w:val="en-US"/>
        </w:rPr>
        <w:t xml:space="preserve">is rather small: it </w:t>
      </w:r>
      <w:r w:rsidR="004425B9" w:rsidRPr="002B2A36">
        <w:rPr>
          <w:rFonts w:ascii="Times New Roman" w:hAnsi="Times New Roman" w:cs="Times New Roman"/>
          <w:sz w:val="28"/>
          <w:szCs w:val="28"/>
          <w:lang w:val="en-US"/>
        </w:rPr>
        <w:t>was just 0,015 per cent of the internal export in the 1</w:t>
      </w:r>
      <w:r w:rsidR="004425B9" w:rsidRPr="002B2A36">
        <w:rPr>
          <w:rFonts w:ascii="Times New Roman" w:hAnsi="Times New Roman" w:cs="Times New Roman"/>
          <w:sz w:val="28"/>
          <w:szCs w:val="28"/>
          <w:vertAlign w:val="superscript"/>
          <w:lang w:val="en-US"/>
        </w:rPr>
        <w:t>st</w:t>
      </w:r>
      <w:r w:rsidR="004425B9" w:rsidRPr="002B2A36">
        <w:rPr>
          <w:rFonts w:ascii="Times New Roman" w:hAnsi="Times New Roman" w:cs="Times New Roman"/>
          <w:sz w:val="28"/>
          <w:szCs w:val="28"/>
          <w:lang w:val="en-US"/>
        </w:rPr>
        <w:t xml:space="preserve"> quarter of 2015.</w:t>
      </w:r>
      <w:r w:rsidR="00FC5844" w:rsidRPr="002B2A36">
        <w:rPr>
          <w:rFonts w:ascii="Times New Roman" w:hAnsi="Times New Roman" w:cs="Times New Roman"/>
          <w:sz w:val="28"/>
          <w:szCs w:val="28"/>
          <w:lang w:val="en-US"/>
        </w:rPr>
        <w:t xml:space="preserve"> Small size of Armenian economy and absence of common borders with other EUAE states explain this fact very well.</w:t>
      </w:r>
    </w:p>
    <w:p w:rsidR="00391140" w:rsidRDefault="00391140" w:rsidP="007C154A">
      <w:pPr>
        <w:spacing w:before="240"/>
        <w:rPr>
          <w:rFonts w:ascii="Times New Roman" w:hAnsi="Times New Roman" w:cs="Times New Roman"/>
          <w:sz w:val="28"/>
          <w:szCs w:val="28"/>
          <w:lang w:val="en-US"/>
        </w:rPr>
      </w:pPr>
      <w:r w:rsidRPr="00391140">
        <w:rPr>
          <w:rFonts w:ascii="Times New Roman" w:hAnsi="Times New Roman" w:cs="Times New Roman"/>
          <w:noProof/>
          <w:sz w:val="28"/>
          <w:szCs w:val="28"/>
          <w:lang w:eastAsia="ru-RU"/>
        </w:rPr>
        <w:drawing>
          <wp:inline distT="0" distB="0" distL="0" distR="0">
            <wp:extent cx="5930900" cy="1943100"/>
            <wp:effectExtent l="19050" t="0" r="1270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0B36" w:rsidRDefault="005A0B36" w:rsidP="007C154A">
      <w:p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Graph 1. </w:t>
      </w:r>
      <w:r w:rsidR="006119CC">
        <w:rPr>
          <w:rFonts w:ascii="Times New Roman" w:hAnsi="Times New Roman" w:cs="Times New Roman"/>
          <w:sz w:val="28"/>
          <w:szCs w:val="28"/>
          <w:lang w:val="en-US"/>
        </w:rPr>
        <w:t>Internal trade</w:t>
      </w:r>
      <w:r>
        <w:rPr>
          <w:rFonts w:ascii="Times New Roman" w:hAnsi="Times New Roman" w:cs="Times New Roman"/>
          <w:sz w:val="28"/>
          <w:szCs w:val="28"/>
          <w:lang w:val="en-US"/>
        </w:rPr>
        <w:t xml:space="preserve"> of the</w:t>
      </w:r>
      <w:r w:rsidR="006119CC">
        <w:rPr>
          <w:rFonts w:ascii="Times New Roman" w:hAnsi="Times New Roman" w:cs="Times New Roman"/>
          <w:sz w:val="28"/>
          <w:szCs w:val="28"/>
          <w:lang w:val="en-US"/>
        </w:rPr>
        <w:t xml:space="preserve"> EAEU members – export</w:t>
      </w:r>
      <w:r w:rsidR="00391140">
        <w:rPr>
          <w:rFonts w:ascii="Times New Roman" w:hAnsi="Times New Roman" w:cs="Times New Roman"/>
          <w:sz w:val="28"/>
          <w:szCs w:val="28"/>
          <w:lang w:val="en-US"/>
        </w:rPr>
        <w:t>, USD million</w:t>
      </w:r>
    </w:p>
    <w:p w:rsidR="00391140" w:rsidRPr="002B2A36" w:rsidRDefault="005A0B36" w:rsidP="007C154A">
      <w:pPr>
        <w:spacing w:before="240"/>
        <w:rPr>
          <w:rFonts w:ascii="Times New Roman" w:hAnsi="Times New Roman" w:cs="Times New Roman"/>
          <w:sz w:val="28"/>
          <w:szCs w:val="28"/>
          <w:lang w:val="en-US"/>
        </w:rPr>
      </w:pPr>
      <w:r>
        <w:rPr>
          <w:rFonts w:ascii="Times New Roman" w:hAnsi="Times New Roman" w:cs="Times New Roman"/>
          <w:sz w:val="28"/>
          <w:szCs w:val="28"/>
          <w:lang w:val="en-US"/>
        </w:rPr>
        <w:t>Source: External and internal trade of the EAEU</w:t>
      </w:r>
      <w:r w:rsidRPr="00391140">
        <w:rPr>
          <w:rFonts w:ascii="Times New Roman" w:hAnsi="Times New Roman" w:cs="Times New Roman"/>
          <w:sz w:val="28"/>
          <w:szCs w:val="28"/>
          <w:lang w:val="en-US"/>
        </w:rPr>
        <w:t xml:space="preserve"> </w:t>
      </w:r>
      <w:r w:rsidR="00391140" w:rsidRPr="002B2A36">
        <w:rPr>
          <w:rFonts w:ascii="Times New Roman" w:hAnsi="Times New Roman" w:cs="Times New Roman"/>
          <w:sz w:val="28"/>
          <w:szCs w:val="28"/>
          <w:lang w:val="en-US"/>
        </w:rPr>
        <w:t>http://eec.eaeunion.org/ru/act/integr_i_makroec/dep_stat/tradestat/time_series/Pages/default.aspx</w:t>
      </w:r>
    </w:p>
    <w:p w:rsidR="002B2A36" w:rsidRDefault="001B7ABC" w:rsidP="001B7ABC">
      <w:pPr>
        <w:spacing w:before="240"/>
        <w:jc w:val="both"/>
        <w:rPr>
          <w:rFonts w:ascii="Times New Roman" w:hAnsi="Times New Roman" w:cs="Times New Roman"/>
          <w:sz w:val="28"/>
          <w:szCs w:val="28"/>
          <w:lang w:val="en-US"/>
        </w:rPr>
      </w:pPr>
      <w:r w:rsidRPr="002B2A36">
        <w:rPr>
          <w:rFonts w:ascii="Times New Roman" w:hAnsi="Times New Roman" w:cs="Times New Roman"/>
          <w:sz w:val="28"/>
          <w:szCs w:val="28"/>
          <w:lang w:val="en-US"/>
        </w:rPr>
        <w:t xml:space="preserve">Commodity structure of mutual trade is dominated by mineral products (30.7% of the mutual trade volume). About 80% of them come from the Russian Federation. The share of machinery, equipment and vehicles accounts for 21.5% of the volume of mutual trade, of which 62.4% came from the Russia and 35.3% from Belarus. About 14% of internal trade comes from food and agricultural raw materials. More than 60% of them come from Belarus. Metals and metal products account for approximately 11%. Russian Federation </w:t>
      </w:r>
      <w:r w:rsidR="00434498">
        <w:rPr>
          <w:rFonts w:ascii="Times New Roman" w:hAnsi="Times New Roman" w:cs="Times New Roman"/>
          <w:sz w:val="28"/>
          <w:szCs w:val="28"/>
          <w:lang w:val="en-US"/>
        </w:rPr>
        <w:t>leads on this market</w:t>
      </w:r>
      <w:r w:rsidRPr="002B2A36">
        <w:rPr>
          <w:rFonts w:ascii="Times New Roman" w:hAnsi="Times New Roman" w:cs="Times New Roman"/>
          <w:sz w:val="28"/>
          <w:szCs w:val="28"/>
          <w:lang w:val="en-US"/>
        </w:rPr>
        <w:t xml:space="preserve"> 63.4% </w:t>
      </w:r>
      <w:r w:rsidR="00434498">
        <w:rPr>
          <w:rFonts w:ascii="Times New Roman" w:hAnsi="Times New Roman" w:cs="Times New Roman"/>
          <w:sz w:val="28"/>
          <w:szCs w:val="28"/>
          <w:lang w:val="en-US"/>
        </w:rPr>
        <w:t>share</w:t>
      </w:r>
      <w:r w:rsidRPr="002B2A36">
        <w:rPr>
          <w:rStyle w:val="a5"/>
          <w:rFonts w:ascii="Times New Roman" w:hAnsi="Times New Roman" w:cs="Times New Roman"/>
          <w:sz w:val="28"/>
          <w:szCs w:val="28"/>
          <w:lang w:val="en-US"/>
        </w:rPr>
        <w:footnoteReference w:id="13"/>
      </w:r>
      <w:r w:rsidRPr="002B2A36">
        <w:rPr>
          <w:rFonts w:ascii="Times New Roman" w:hAnsi="Times New Roman" w:cs="Times New Roman"/>
          <w:sz w:val="28"/>
          <w:szCs w:val="28"/>
          <w:lang w:val="en-US"/>
        </w:rPr>
        <w:t>. As for Kazakhstan – it supplies to the common market mineral products and metals.</w:t>
      </w:r>
    </w:p>
    <w:p w:rsidR="001B7ABC" w:rsidRDefault="002B2A36" w:rsidP="002B2A36">
      <w:pPr>
        <w:spacing w:before="24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Export to the EAEU members has distinct importance for its members. The EAEU is the most important market for Belarus (Graph 2). Key export targets of Kazakhstan and Russia are outside of the Union as the biggest part of their export is mineral products.</w:t>
      </w:r>
      <w:r w:rsidR="004E424D">
        <w:rPr>
          <w:rFonts w:ascii="Times New Roman" w:hAnsi="Times New Roman" w:cs="Times New Roman"/>
          <w:sz w:val="28"/>
          <w:szCs w:val="28"/>
          <w:lang w:val="en-US"/>
        </w:rPr>
        <w:t xml:space="preserve"> For Armenian export in the 1</w:t>
      </w:r>
      <w:r w:rsidR="004E424D" w:rsidRPr="005A0B36">
        <w:rPr>
          <w:rFonts w:ascii="Times New Roman" w:hAnsi="Times New Roman" w:cs="Times New Roman"/>
          <w:sz w:val="28"/>
          <w:szCs w:val="28"/>
          <w:vertAlign w:val="superscript"/>
          <w:lang w:val="en-US"/>
        </w:rPr>
        <w:t>st</w:t>
      </w:r>
      <w:r w:rsidR="004E424D">
        <w:rPr>
          <w:rFonts w:ascii="Times New Roman" w:hAnsi="Times New Roman" w:cs="Times New Roman"/>
          <w:sz w:val="28"/>
          <w:szCs w:val="28"/>
          <w:lang w:val="en-US"/>
        </w:rPr>
        <w:t xml:space="preserve"> quarter of 2015 the share of the EAEU accounted just for 0,5 per cent.</w:t>
      </w:r>
    </w:p>
    <w:p w:rsidR="00391140" w:rsidRDefault="00391140" w:rsidP="007C154A">
      <w:pPr>
        <w:spacing w:before="240"/>
        <w:rPr>
          <w:rFonts w:ascii="Times New Roman" w:hAnsi="Times New Roman" w:cs="Times New Roman"/>
          <w:sz w:val="28"/>
          <w:szCs w:val="28"/>
          <w:lang w:val="en-US"/>
        </w:rPr>
      </w:pPr>
      <w:r w:rsidRPr="00391140">
        <w:rPr>
          <w:rFonts w:ascii="Times New Roman" w:hAnsi="Times New Roman" w:cs="Times New Roman"/>
          <w:noProof/>
          <w:sz w:val="28"/>
          <w:szCs w:val="28"/>
          <w:lang w:eastAsia="ru-RU"/>
        </w:rPr>
        <w:drawing>
          <wp:inline distT="0" distB="0" distL="0" distR="0">
            <wp:extent cx="5899150" cy="2324100"/>
            <wp:effectExtent l="19050" t="0" r="2540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0B36" w:rsidRDefault="005A0B36" w:rsidP="007C154A">
      <w:pPr>
        <w:spacing w:before="240"/>
        <w:rPr>
          <w:rFonts w:ascii="Times New Roman" w:hAnsi="Times New Roman" w:cs="Times New Roman"/>
          <w:sz w:val="28"/>
          <w:szCs w:val="28"/>
          <w:lang w:val="en-US"/>
        </w:rPr>
      </w:pPr>
      <w:r>
        <w:rPr>
          <w:rFonts w:ascii="Times New Roman" w:hAnsi="Times New Roman" w:cs="Times New Roman"/>
          <w:sz w:val="28"/>
          <w:szCs w:val="28"/>
          <w:lang w:val="en-US"/>
        </w:rPr>
        <w:t>Graph 2. Shares of EAEU in member states’ export.</w:t>
      </w:r>
    </w:p>
    <w:p w:rsidR="005A0B36" w:rsidRDefault="005A0B36" w:rsidP="005A0B36">
      <w:pPr>
        <w:spacing w:before="240"/>
        <w:rPr>
          <w:rFonts w:ascii="Times New Roman" w:hAnsi="Times New Roman" w:cs="Times New Roman"/>
          <w:sz w:val="28"/>
          <w:szCs w:val="28"/>
          <w:lang w:val="en-US"/>
        </w:rPr>
      </w:pPr>
      <w:r>
        <w:rPr>
          <w:rFonts w:ascii="Times New Roman" w:hAnsi="Times New Roman" w:cs="Times New Roman"/>
          <w:sz w:val="28"/>
          <w:szCs w:val="28"/>
          <w:lang w:val="en-US"/>
        </w:rPr>
        <w:t>Source: External and internal trade of the EAEU</w:t>
      </w:r>
      <w:r w:rsidRPr="00391140">
        <w:rPr>
          <w:rFonts w:ascii="Times New Roman" w:hAnsi="Times New Roman" w:cs="Times New Roman"/>
          <w:sz w:val="28"/>
          <w:szCs w:val="28"/>
          <w:lang w:val="en-US"/>
        </w:rPr>
        <w:t xml:space="preserve"> http://eec.eaeunion.org/ru/act/integr_i_makroec/dep_stat/tradestat/time_series/Pages/default.aspx</w:t>
      </w:r>
    </w:p>
    <w:p w:rsidR="002B2A36" w:rsidRDefault="002B2A36" w:rsidP="0030542E">
      <w:pPr>
        <w:spacing w:before="2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Belarus </w:t>
      </w:r>
      <w:r w:rsidR="0030542E">
        <w:rPr>
          <w:rFonts w:ascii="Times New Roman" w:hAnsi="Times New Roman" w:cs="Times New Roman"/>
          <w:sz w:val="28"/>
          <w:szCs w:val="28"/>
          <w:lang w:val="en-US"/>
        </w:rPr>
        <w:t>supplies</w:t>
      </w:r>
      <w:r>
        <w:rPr>
          <w:rFonts w:ascii="Times New Roman" w:hAnsi="Times New Roman" w:cs="Times New Roman"/>
          <w:sz w:val="28"/>
          <w:szCs w:val="28"/>
          <w:lang w:val="en-US"/>
        </w:rPr>
        <w:t xml:space="preserve"> dairy and meet products </w:t>
      </w:r>
      <w:r w:rsidR="0030542E">
        <w:rPr>
          <w:rFonts w:ascii="Times New Roman" w:hAnsi="Times New Roman" w:cs="Times New Roman"/>
          <w:sz w:val="28"/>
          <w:szCs w:val="28"/>
          <w:lang w:val="en-US"/>
        </w:rPr>
        <w:t>to Russia (more than 20 per cent of the total country’s export), machinery and equipment (14 per cent) and vehicles (11%). It</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imports</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from</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Russia</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not</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only</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 xml:space="preserve">mineral products (almost 52%), but </w:t>
      </w:r>
      <w:r w:rsidR="0030542E" w:rsidRPr="0030542E">
        <w:rPr>
          <w:rFonts w:ascii="Times New Roman" w:hAnsi="Times New Roman" w:cs="Times New Roman"/>
          <w:sz w:val="28"/>
          <w:szCs w:val="28"/>
          <w:lang w:val="en-US"/>
        </w:rPr>
        <w:t xml:space="preserve">ferrous materials </w:t>
      </w:r>
      <w:r w:rsidR="0030542E">
        <w:rPr>
          <w:rFonts w:ascii="Times New Roman" w:hAnsi="Times New Roman" w:cs="Times New Roman"/>
          <w:sz w:val="28"/>
          <w:szCs w:val="28"/>
          <w:lang w:val="en-US"/>
        </w:rPr>
        <w:t>(8%), and machinery (7,5%). As</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for</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Belorussian</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export</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to</w:t>
      </w:r>
      <w:r w:rsidR="0030542E" w:rsidRPr="0030542E">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 xml:space="preserve">Kazakhstan, </w:t>
      </w:r>
      <w:r w:rsidR="004E424D">
        <w:rPr>
          <w:rFonts w:ascii="Times New Roman" w:hAnsi="Times New Roman" w:cs="Times New Roman"/>
          <w:sz w:val="28"/>
          <w:szCs w:val="28"/>
          <w:lang w:val="en-US"/>
        </w:rPr>
        <w:t xml:space="preserve">vehicles </w:t>
      </w:r>
      <w:r w:rsidR="0030542E">
        <w:rPr>
          <w:rFonts w:ascii="Times New Roman" w:hAnsi="Times New Roman" w:cs="Times New Roman"/>
          <w:sz w:val="28"/>
          <w:szCs w:val="28"/>
          <w:lang w:val="en-US"/>
        </w:rPr>
        <w:t xml:space="preserve">prevail (more than 22 per cent) machinery and equipment take more than 15%, mineral fuel (10%) and dairy and meet products almost 10 per cent. </w:t>
      </w:r>
      <w:r w:rsidR="004E424D">
        <w:rPr>
          <w:rFonts w:ascii="Times New Roman" w:hAnsi="Times New Roman" w:cs="Times New Roman"/>
          <w:sz w:val="28"/>
          <w:szCs w:val="28"/>
          <w:lang w:val="en-US"/>
        </w:rPr>
        <w:t xml:space="preserve">Almost one third of </w:t>
      </w:r>
      <w:r w:rsidR="0030542E">
        <w:rPr>
          <w:rFonts w:ascii="Times New Roman" w:hAnsi="Times New Roman" w:cs="Times New Roman"/>
          <w:sz w:val="28"/>
          <w:szCs w:val="28"/>
          <w:lang w:val="en-US"/>
        </w:rPr>
        <w:t>Kazakh</w:t>
      </w:r>
      <w:r w:rsidR="0030542E" w:rsidRPr="004E424D">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export</w:t>
      </w:r>
      <w:r w:rsidR="0030542E" w:rsidRPr="004E424D">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to</w:t>
      </w:r>
      <w:r w:rsidR="0030542E" w:rsidRPr="004E424D">
        <w:rPr>
          <w:rFonts w:ascii="Times New Roman" w:hAnsi="Times New Roman" w:cs="Times New Roman"/>
          <w:sz w:val="28"/>
          <w:szCs w:val="28"/>
          <w:lang w:val="en-US"/>
        </w:rPr>
        <w:t xml:space="preserve"> </w:t>
      </w:r>
      <w:r w:rsidR="0030542E">
        <w:rPr>
          <w:rFonts w:ascii="Times New Roman" w:hAnsi="Times New Roman" w:cs="Times New Roman"/>
          <w:sz w:val="28"/>
          <w:szCs w:val="28"/>
          <w:lang w:val="en-US"/>
        </w:rPr>
        <w:t xml:space="preserve">Belarus </w:t>
      </w:r>
      <w:r w:rsidR="004E424D">
        <w:rPr>
          <w:rFonts w:ascii="Times New Roman" w:hAnsi="Times New Roman" w:cs="Times New Roman"/>
          <w:sz w:val="28"/>
          <w:szCs w:val="28"/>
          <w:lang w:val="en-US"/>
        </w:rPr>
        <w:t xml:space="preserve">are </w:t>
      </w:r>
      <w:r w:rsidR="004E424D" w:rsidRPr="0030542E">
        <w:rPr>
          <w:rFonts w:ascii="Times New Roman" w:hAnsi="Times New Roman" w:cs="Times New Roman"/>
          <w:sz w:val="28"/>
          <w:szCs w:val="28"/>
          <w:lang w:val="en-US"/>
        </w:rPr>
        <w:t xml:space="preserve">ferrous materials </w:t>
      </w:r>
      <w:r w:rsidR="004E424D">
        <w:rPr>
          <w:rFonts w:ascii="Times New Roman" w:hAnsi="Times New Roman" w:cs="Times New Roman"/>
          <w:sz w:val="28"/>
          <w:szCs w:val="28"/>
          <w:lang w:val="en-US"/>
        </w:rPr>
        <w:t>(32,1%), cotton (11%), mineral fuels (10,2%), chemical products and fertilizers (8,3 and 7,9 percent correspondingly). Russia</w:t>
      </w:r>
      <w:r w:rsidR="004E424D" w:rsidRPr="004E424D">
        <w:rPr>
          <w:rFonts w:ascii="Times New Roman" w:hAnsi="Times New Roman" w:cs="Times New Roman"/>
          <w:sz w:val="28"/>
          <w:szCs w:val="28"/>
          <w:lang w:val="en-US"/>
        </w:rPr>
        <w:t xml:space="preserve"> </w:t>
      </w:r>
      <w:r w:rsidR="004E424D">
        <w:rPr>
          <w:rFonts w:ascii="Times New Roman" w:hAnsi="Times New Roman" w:cs="Times New Roman"/>
          <w:sz w:val="28"/>
          <w:szCs w:val="28"/>
          <w:lang w:val="en-US"/>
        </w:rPr>
        <w:t>imports from Kazakhstan mainly mineral products (</w:t>
      </w:r>
      <w:r w:rsidR="004E424D" w:rsidRPr="004E424D">
        <w:rPr>
          <w:rFonts w:ascii="Times New Roman" w:hAnsi="Times New Roman" w:cs="Times New Roman"/>
          <w:sz w:val="28"/>
          <w:szCs w:val="28"/>
          <w:lang w:val="en-US"/>
        </w:rPr>
        <w:t xml:space="preserve">46% </w:t>
      </w:r>
      <w:r w:rsidR="004E424D">
        <w:rPr>
          <w:rFonts w:ascii="Times New Roman" w:hAnsi="Times New Roman" w:cs="Times New Roman"/>
          <w:sz w:val="28"/>
          <w:szCs w:val="28"/>
          <w:lang w:val="en-US"/>
        </w:rPr>
        <w:t xml:space="preserve">of country’s export to Russia) and </w:t>
      </w:r>
      <w:r w:rsidR="004E424D" w:rsidRPr="0030542E">
        <w:rPr>
          <w:rFonts w:ascii="Times New Roman" w:hAnsi="Times New Roman" w:cs="Times New Roman"/>
          <w:sz w:val="28"/>
          <w:szCs w:val="28"/>
          <w:lang w:val="en-US"/>
        </w:rPr>
        <w:t>ferrous materials</w:t>
      </w:r>
      <w:r w:rsidR="004E424D">
        <w:rPr>
          <w:rFonts w:ascii="Times New Roman" w:hAnsi="Times New Roman" w:cs="Times New Roman"/>
          <w:sz w:val="28"/>
          <w:szCs w:val="28"/>
          <w:lang w:val="en-US"/>
        </w:rPr>
        <w:t xml:space="preserve"> (16,4%). Russia</w:t>
      </w:r>
      <w:r w:rsidR="004E424D" w:rsidRPr="004E424D">
        <w:rPr>
          <w:rFonts w:ascii="Times New Roman" w:hAnsi="Times New Roman" w:cs="Times New Roman"/>
          <w:sz w:val="28"/>
          <w:szCs w:val="28"/>
          <w:lang w:val="en-US"/>
        </w:rPr>
        <w:t xml:space="preserve"> </w:t>
      </w:r>
      <w:r w:rsidR="004E424D">
        <w:rPr>
          <w:rFonts w:ascii="Times New Roman" w:hAnsi="Times New Roman" w:cs="Times New Roman"/>
          <w:sz w:val="28"/>
          <w:szCs w:val="28"/>
          <w:lang w:val="en-US"/>
        </w:rPr>
        <w:t xml:space="preserve">delivers vehicles, machinery and equipment (more than 30%), </w:t>
      </w:r>
      <w:r w:rsidR="004E424D" w:rsidRPr="0030542E">
        <w:rPr>
          <w:rFonts w:ascii="Times New Roman" w:hAnsi="Times New Roman" w:cs="Times New Roman"/>
          <w:sz w:val="28"/>
          <w:szCs w:val="28"/>
          <w:lang w:val="en-US"/>
        </w:rPr>
        <w:t>ferrous materials</w:t>
      </w:r>
      <w:r w:rsidR="004E424D">
        <w:rPr>
          <w:rFonts w:ascii="Times New Roman" w:hAnsi="Times New Roman" w:cs="Times New Roman"/>
          <w:sz w:val="28"/>
          <w:szCs w:val="28"/>
          <w:lang w:val="en-US"/>
        </w:rPr>
        <w:t xml:space="preserve"> (12%) and mineral fuel (12,4%)</w:t>
      </w:r>
      <w:r w:rsidR="003B3C09">
        <w:rPr>
          <w:rFonts w:ascii="Times New Roman" w:hAnsi="Times New Roman" w:cs="Times New Roman"/>
          <w:sz w:val="28"/>
          <w:szCs w:val="28"/>
          <w:lang w:val="en-US"/>
        </w:rPr>
        <w:t>.</w:t>
      </w:r>
    </w:p>
    <w:p w:rsidR="003B3C09" w:rsidRPr="004E424D" w:rsidRDefault="003B3C09" w:rsidP="0030542E">
      <w:pPr>
        <w:spacing w:before="240"/>
        <w:jc w:val="both"/>
        <w:rPr>
          <w:rFonts w:ascii="Times New Roman" w:hAnsi="Times New Roman" w:cs="Times New Roman"/>
          <w:sz w:val="28"/>
          <w:szCs w:val="28"/>
          <w:lang w:val="en-US"/>
        </w:rPr>
      </w:pPr>
      <w:r>
        <w:rPr>
          <w:rFonts w:ascii="Times New Roman" w:hAnsi="Times New Roman" w:cs="Times New Roman"/>
          <w:sz w:val="28"/>
          <w:szCs w:val="28"/>
          <w:lang w:val="en-US"/>
        </w:rPr>
        <w:t>Belarus depend a lot from the EAEU market: it keeps about 40% of the ..., while Russia and Kazakhstan almost equally share the rest 60% (Graph 3).</w:t>
      </w:r>
    </w:p>
    <w:p w:rsidR="00D85CAB" w:rsidRDefault="00D85CAB" w:rsidP="005A0B36">
      <w:pPr>
        <w:spacing w:before="240"/>
        <w:jc w:val="both"/>
        <w:rPr>
          <w:rFonts w:ascii="Times New Roman" w:hAnsi="Times New Roman" w:cs="Times New Roman"/>
          <w:sz w:val="28"/>
          <w:szCs w:val="28"/>
          <w:lang w:val="en-US"/>
        </w:rPr>
      </w:pPr>
      <w:r w:rsidRPr="00D85CAB">
        <w:rPr>
          <w:rFonts w:ascii="Times New Roman" w:hAnsi="Times New Roman" w:cs="Times New Roman"/>
          <w:noProof/>
          <w:sz w:val="28"/>
          <w:szCs w:val="28"/>
          <w:lang w:eastAsia="ru-RU"/>
        </w:rPr>
        <w:lastRenderedPageBreak/>
        <w:drawing>
          <wp:inline distT="0" distB="0" distL="0" distR="0">
            <wp:extent cx="5772150" cy="1987550"/>
            <wp:effectExtent l="19050" t="0" r="1905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5E48" w:rsidRDefault="00D35E48" w:rsidP="00D35E48">
      <w:p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Graph </w:t>
      </w:r>
      <w:r w:rsidR="0095279E">
        <w:rPr>
          <w:rFonts w:ascii="Times New Roman" w:hAnsi="Times New Roman" w:cs="Times New Roman"/>
          <w:sz w:val="28"/>
          <w:szCs w:val="28"/>
          <w:lang w:val="en-US"/>
        </w:rPr>
        <w:t>3</w:t>
      </w:r>
      <w:r>
        <w:rPr>
          <w:rFonts w:ascii="Times New Roman" w:hAnsi="Times New Roman" w:cs="Times New Roman"/>
          <w:sz w:val="28"/>
          <w:szCs w:val="28"/>
          <w:lang w:val="en-US"/>
        </w:rPr>
        <w:t>. Internal trade of the EAEU members – import, USD million</w:t>
      </w:r>
    </w:p>
    <w:p w:rsidR="00D35E48" w:rsidRDefault="00D35E48" w:rsidP="00D35E48">
      <w:pPr>
        <w:spacing w:before="240"/>
        <w:rPr>
          <w:rFonts w:ascii="Times New Roman" w:hAnsi="Times New Roman" w:cs="Times New Roman"/>
          <w:sz w:val="28"/>
          <w:szCs w:val="28"/>
          <w:lang w:val="en-US"/>
        </w:rPr>
      </w:pPr>
      <w:r>
        <w:rPr>
          <w:rFonts w:ascii="Times New Roman" w:hAnsi="Times New Roman" w:cs="Times New Roman"/>
          <w:sz w:val="28"/>
          <w:szCs w:val="28"/>
          <w:lang w:val="en-US"/>
        </w:rPr>
        <w:t>Source: External and internal trade of the EAEU</w:t>
      </w:r>
      <w:r w:rsidRPr="00391140">
        <w:rPr>
          <w:rFonts w:ascii="Times New Roman" w:hAnsi="Times New Roman" w:cs="Times New Roman"/>
          <w:sz w:val="28"/>
          <w:szCs w:val="28"/>
          <w:lang w:val="en-US"/>
        </w:rPr>
        <w:t xml:space="preserve"> http://eec.eaeunion.org/ru/act/integr_i_makroec/dep_stat/tradestat/time_series/Pages/default.aspx</w:t>
      </w:r>
    </w:p>
    <w:p w:rsidR="00D85CAB" w:rsidRDefault="003B3C09" w:rsidP="005A0B36">
      <w:pPr>
        <w:spacing w:before="240"/>
        <w:jc w:val="both"/>
        <w:rPr>
          <w:rFonts w:ascii="Times New Roman" w:hAnsi="Times New Roman" w:cs="Times New Roman"/>
          <w:sz w:val="28"/>
          <w:szCs w:val="28"/>
          <w:lang w:val="en-US"/>
        </w:rPr>
      </w:pPr>
      <w:r>
        <w:rPr>
          <w:rFonts w:ascii="Times New Roman" w:hAnsi="Times New Roman" w:cs="Times New Roman"/>
          <w:sz w:val="28"/>
          <w:szCs w:val="28"/>
          <w:lang w:val="en-US"/>
        </w:rPr>
        <w:t>The biggest part of Beloruss</w:t>
      </w:r>
      <w:r w:rsidR="00434498">
        <w:rPr>
          <w:rFonts w:ascii="Times New Roman" w:hAnsi="Times New Roman" w:cs="Times New Roman"/>
          <w:sz w:val="28"/>
          <w:szCs w:val="28"/>
          <w:lang w:val="en-US"/>
        </w:rPr>
        <w:t xml:space="preserve">ian export comes from the EAEU: </w:t>
      </w:r>
      <w:r>
        <w:rPr>
          <w:rFonts w:ascii="Times New Roman" w:hAnsi="Times New Roman" w:cs="Times New Roman"/>
          <w:sz w:val="28"/>
          <w:szCs w:val="28"/>
          <w:lang w:val="en-US"/>
        </w:rPr>
        <w:t xml:space="preserve">more than 60 per cent of the </w:t>
      </w:r>
      <w:r w:rsidR="00434498">
        <w:rPr>
          <w:rFonts w:ascii="Times New Roman" w:hAnsi="Times New Roman" w:cs="Times New Roman"/>
          <w:sz w:val="28"/>
          <w:szCs w:val="28"/>
          <w:lang w:val="en-US"/>
        </w:rPr>
        <w:t>country’s total import (Graph 4). For Armenia the share of the EAEU in import substantial as well 28,1 percent.</w:t>
      </w:r>
    </w:p>
    <w:p w:rsidR="005A0B36" w:rsidRDefault="009E1B56" w:rsidP="007C154A">
      <w:pPr>
        <w:spacing w:before="240"/>
        <w:rPr>
          <w:rFonts w:ascii="Times New Roman" w:hAnsi="Times New Roman" w:cs="Times New Roman"/>
          <w:sz w:val="28"/>
          <w:szCs w:val="28"/>
          <w:lang w:val="en-US"/>
        </w:rPr>
      </w:pPr>
      <w:r w:rsidRPr="009E1B56">
        <w:rPr>
          <w:rFonts w:ascii="Times New Roman" w:hAnsi="Times New Roman" w:cs="Times New Roman"/>
          <w:noProof/>
          <w:sz w:val="28"/>
          <w:szCs w:val="28"/>
          <w:lang w:eastAsia="ru-RU"/>
        </w:rPr>
        <w:drawing>
          <wp:inline distT="0" distB="0" distL="0" distR="0">
            <wp:extent cx="5803900" cy="1847850"/>
            <wp:effectExtent l="19050" t="0" r="2540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5E48" w:rsidRDefault="00D35E48" w:rsidP="00D35E48">
      <w:p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Graph </w:t>
      </w:r>
      <w:r w:rsidR="0095279E">
        <w:rPr>
          <w:rFonts w:ascii="Times New Roman" w:hAnsi="Times New Roman" w:cs="Times New Roman"/>
          <w:sz w:val="28"/>
          <w:szCs w:val="28"/>
          <w:lang w:val="en-US"/>
        </w:rPr>
        <w:t>4</w:t>
      </w:r>
      <w:r>
        <w:rPr>
          <w:rFonts w:ascii="Times New Roman" w:hAnsi="Times New Roman" w:cs="Times New Roman"/>
          <w:sz w:val="28"/>
          <w:szCs w:val="28"/>
          <w:lang w:val="en-US"/>
        </w:rPr>
        <w:t>. Shares of EAEU in member states’ import.</w:t>
      </w:r>
    </w:p>
    <w:p w:rsidR="005D2896" w:rsidRDefault="00D35E48" w:rsidP="00D35E48">
      <w:pPr>
        <w:spacing w:before="240"/>
        <w:rPr>
          <w:rFonts w:ascii="Times New Roman" w:hAnsi="Times New Roman" w:cs="Times New Roman"/>
          <w:sz w:val="28"/>
          <w:szCs w:val="28"/>
          <w:lang w:val="en-US"/>
        </w:rPr>
      </w:pPr>
      <w:r>
        <w:rPr>
          <w:rFonts w:ascii="Times New Roman" w:hAnsi="Times New Roman" w:cs="Times New Roman"/>
          <w:sz w:val="28"/>
          <w:szCs w:val="28"/>
          <w:lang w:val="en-US"/>
        </w:rPr>
        <w:t>Source: External and internal trade of the EAEU</w:t>
      </w:r>
      <w:r w:rsidRPr="00391140">
        <w:rPr>
          <w:rFonts w:ascii="Times New Roman" w:hAnsi="Times New Roman" w:cs="Times New Roman"/>
          <w:sz w:val="28"/>
          <w:szCs w:val="28"/>
          <w:lang w:val="en-US"/>
        </w:rPr>
        <w:t xml:space="preserve"> http://eec.eaeunion.org/ru/act/integr_i_makroec/dep_stat/tradestat/time_series/Pages/default.aspx</w:t>
      </w:r>
    </w:p>
    <w:p w:rsidR="0095279E" w:rsidRPr="00434498" w:rsidRDefault="0095279E" w:rsidP="0095279E">
      <w:pPr>
        <w:spacing w:before="2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mutual trade of the EAEU members one could find a rather big share of </w:t>
      </w:r>
      <w:r w:rsidRPr="0095279E">
        <w:rPr>
          <w:rFonts w:ascii="Times New Roman" w:hAnsi="Times New Roman" w:cs="Times New Roman"/>
          <w:sz w:val="28"/>
          <w:szCs w:val="28"/>
          <w:lang w:val="en-US"/>
        </w:rPr>
        <w:t>semi-manufactured goods</w:t>
      </w:r>
      <w:r>
        <w:rPr>
          <w:rFonts w:ascii="Times New Roman" w:hAnsi="Times New Roman" w:cs="Times New Roman"/>
          <w:sz w:val="28"/>
          <w:szCs w:val="28"/>
          <w:lang w:val="en-US"/>
        </w:rPr>
        <w:t xml:space="preserve"> (67,2) </w:t>
      </w:r>
      <w:r w:rsidR="007C5BF2">
        <w:rPr>
          <w:rFonts w:ascii="Times New Roman" w:hAnsi="Times New Roman" w:cs="Times New Roman"/>
          <w:sz w:val="28"/>
          <w:szCs w:val="28"/>
          <w:lang w:val="en-US"/>
        </w:rPr>
        <w:t>But a substantial p</w:t>
      </w:r>
      <w:r>
        <w:rPr>
          <w:rFonts w:ascii="Times New Roman" w:hAnsi="Times New Roman" w:cs="Times New Roman"/>
          <w:sz w:val="28"/>
          <w:szCs w:val="28"/>
          <w:lang w:val="en-US"/>
        </w:rPr>
        <w:t>art of</w:t>
      </w:r>
      <w:r w:rsidR="007C5BF2">
        <w:rPr>
          <w:rFonts w:ascii="Times New Roman" w:hAnsi="Times New Roman" w:cs="Times New Roman"/>
          <w:sz w:val="28"/>
          <w:szCs w:val="28"/>
          <w:lang w:val="en-US"/>
        </w:rPr>
        <w:t xml:space="preserve"> this</w:t>
      </w:r>
      <w:r>
        <w:rPr>
          <w:rFonts w:ascii="Times New Roman" w:hAnsi="Times New Roman" w:cs="Times New Roman"/>
          <w:sz w:val="28"/>
          <w:szCs w:val="28"/>
          <w:lang w:val="en-US"/>
        </w:rPr>
        <w:t xml:space="preserve"> belong</w:t>
      </w:r>
      <w:r w:rsidR="007C5BF2">
        <w:rPr>
          <w:rFonts w:ascii="Times New Roman" w:hAnsi="Times New Roman" w:cs="Times New Roman"/>
          <w:sz w:val="28"/>
          <w:szCs w:val="28"/>
          <w:lang w:val="en-US"/>
        </w:rPr>
        <w:t>s</w:t>
      </w:r>
      <w:r>
        <w:rPr>
          <w:rFonts w:ascii="Times New Roman" w:hAnsi="Times New Roman" w:cs="Times New Roman"/>
          <w:sz w:val="28"/>
          <w:szCs w:val="28"/>
          <w:lang w:val="en-US"/>
        </w:rPr>
        <w:t xml:space="preserve"> to the energy sector </w:t>
      </w:r>
      <w:r w:rsidRPr="0095279E">
        <w:rPr>
          <w:rFonts w:ascii="Times New Roman" w:hAnsi="Times New Roman" w:cs="Times New Roman"/>
          <w:sz w:val="28"/>
          <w:szCs w:val="28"/>
          <w:lang w:val="en-US"/>
        </w:rPr>
        <w:t>26,4%</w:t>
      </w:r>
      <w:r w:rsidR="007C5BF2">
        <w:rPr>
          <w:rStyle w:val="a5"/>
          <w:rFonts w:ascii="Times New Roman" w:hAnsi="Times New Roman" w:cs="Times New Roman"/>
          <w:sz w:val="28"/>
          <w:szCs w:val="28"/>
          <w:lang w:val="en-US"/>
        </w:rPr>
        <w:footnoteReference w:id="14"/>
      </w:r>
      <w:r>
        <w:rPr>
          <w:rFonts w:ascii="Times New Roman" w:hAnsi="Times New Roman" w:cs="Times New Roman"/>
          <w:sz w:val="28"/>
          <w:szCs w:val="28"/>
          <w:lang w:val="en-US"/>
        </w:rPr>
        <w:t xml:space="preserve">, while </w:t>
      </w:r>
      <w:r w:rsidRPr="0095279E">
        <w:rPr>
          <w:rFonts w:ascii="Times New Roman" w:hAnsi="Times New Roman" w:cs="Times New Roman"/>
          <w:sz w:val="28"/>
          <w:szCs w:val="28"/>
          <w:lang w:val="en-US"/>
        </w:rPr>
        <w:t xml:space="preserve">36,3% </w:t>
      </w:r>
      <w:r>
        <w:rPr>
          <w:rFonts w:ascii="Times New Roman" w:hAnsi="Times New Roman" w:cs="Times New Roman"/>
          <w:sz w:val="28"/>
          <w:szCs w:val="28"/>
          <w:lang w:val="en-US"/>
        </w:rPr>
        <w:t xml:space="preserve">other </w:t>
      </w:r>
      <w:r w:rsidRPr="0095279E">
        <w:rPr>
          <w:rFonts w:ascii="Times New Roman" w:hAnsi="Times New Roman" w:cs="Times New Roman"/>
          <w:sz w:val="28"/>
          <w:szCs w:val="28"/>
          <w:lang w:val="en-US"/>
        </w:rPr>
        <w:t>intermediates</w:t>
      </w:r>
      <w:r>
        <w:rPr>
          <w:rStyle w:val="a5"/>
          <w:rFonts w:ascii="Times New Roman" w:hAnsi="Times New Roman" w:cs="Times New Roman"/>
          <w:sz w:val="28"/>
          <w:szCs w:val="28"/>
          <w:lang w:val="en-US"/>
        </w:rPr>
        <w:footnoteReference w:id="15"/>
      </w:r>
      <w:r>
        <w:rPr>
          <w:rFonts w:ascii="Times New Roman" w:hAnsi="Times New Roman" w:cs="Times New Roman"/>
          <w:sz w:val="28"/>
          <w:szCs w:val="28"/>
          <w:lang w:val="en-US"/>
        </w:rPr>
        <w:t>. And</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this</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background</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for</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RVC</w:t>
      </w:r>
      <w:r w:rsidR="00434498">
        <w:rPr>
          <w:rFonts w:ascii="Times New Roman" w:hAnsi="Times New Roman" w:cs="Times New Roman"/>
          <w:sz w:val="28"/>
          <w:szCs w:val="28"/>
          <w:lang w:val="en-US"/>
        </w:rPr>
        <w:t>s</w:t>
      </w:r>
      <w:r w:rsidRPr="00434498">
        <w:rPr>
          <w:rFonts w:ascii="Times New Roman" w:hAnsi="Times New Roman" w:cs="Times New Roman"/>
          <w:sz w:val="28"/>
          <w:szCs w:val="28"/>
          <w:lang w:val="en-US"/>
        </w:rPr>
        <w:t xml:space="preserve"> </w:t>
      </w:r>
      <w:r>
        <w:rPr>
          <w:rFonts w:ascii="Times New Roman" w:hAnsi="Times New Roman" w:cs="Times New Roman"/>
          <w:sz w:val="28"/>
          <w:szCs w:val="28"/>
          <w:lang w:val="en-US"/>
        </w:rPr>
        <w:t>development</w:t>
      </w:r>
      <w:r w:rsidRPr="00434498">
        <w:rPr>
          <w:rFonts w:ascii="Times New Roman" w:hAnsi="Times New Roman" w:cs="Times New Roman"/>
          <w:sz w:val="28"/>
          <w:szCs w:val="28"/>
          <w:lang w:val="en-US"/>
        </w:rPr>
        <w:t xml:space="preserve">. </w:t>
      </w:r>
    </w:p>
    <w:p w:rsidR="008E32B7" w:rsidRDefault="00434498" w:rsidP="008E2075">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Statistics on mutual investments of </w:t>
      </w:r>
      <w:r w:rsidR="001D50AE">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EAEU countries is </w:t>
      </w:r>
      <w:r w:rsidR="005977CE">
        <w:rPr>
          <w:rFonts w:ascii="Times New Roman" w:hAnsi="Times New Roman" w:cs="Times New Roman"/>
          <w:sz w:val="28"/>
          <w:szCs w:val="28"/>
          <w:lang w:val="en-US"/>
        </w:rPr>
        <w:t xml:space="preserve">presented in Appendix 1. It clearly indicates that investments flows between Armenia, Belarus and Kazakhstan hardly exist. </w:t>
      </w:r>
      <w:r w:rsidR="008E2075">
        <w:rPr>
          <w:rFonts w:ascii="Times New Roman" w:hAnsi="Times New Roman" w:cs="Times New Roman"/>
          <w:sz w:val="28"/>
          <w:szCs w:val="28"/>
          <w:lang w:val="en-US"/>
        </w:rPr>
        <w:t xml:space="preserve">At the same time Russia is an important host county for the member states markets, but is share in their FDI inflows had decreased substantially since 2011 (from 70 to 29,8 per cent in Belarus and 53,6 to 21,6 in Armenia). As for Kazakhstan, </w:t>
      </w:r>
      <w:r w:rsidR="001D50AE">
        <w:rPr>
          <w:rFonts w:ascii="Times New Roman" w:hAnsi="Times New Roman" w:cs="Times New Roman"/>
          <w:sz w:val="28"/>
          <w:szCs w:val="28"/>
          <w:lang w:val="en-US"/>
        </w:rPr>
        <w:t xml:space="preserve">one could observe a growth of Russian share in 2013 till 13,1%, but in 2011 and 2014 it </w:t>
      </w:r>
      <w:r w:rsidR="008E32B7">
        <w:rPr>
          <w:rFonts w:ascii="Times New Roman" w:hAnsi="Times New Roman" w:cs="Times New Roman"/>
          <w:sz w:val="28"/>
          <w:szCs w:val="28"/>
          <w:lang w:val="en-US"/>
        </w:rPr>
        <w:t xml:space="preserve">was rather low: 7,3 and 6,7% correspondingly. One should not underestimate Russian investments in the EAEU countries. </w:t>
      </w:r>
    </w:p>
    <w:p w:rsidR="00434498" w:rsidRPr="008E32B7" w:rsidRDefault="001D50AE" w:rsidP="008E32B7">
      <w:pPr>
        <w:jc w:val="both"/>
        <w:rPr>
          <w:rFonts w:ascii="Times New Roman" w:hAnsi="Times New Roman" w:cs="Times New Roman"/>
          <w:sz w:val="28"/>
          <w:szCs w:val="28"/>
          <w:lang w:val="en-US"/>
        </w:rPr>
      </w:pPr>
      <w:r>
        <w:rPr>
          <w:rFonts w:ascii="Times New Roman" w:hAnsi="Times New Roman" w:cs="Times New Roman"/>
          <w:sz w:val="28"/>
          <w:szCs w:val="28"/>
          <w:lang w:val="en-US"/>
        </w:rPr>
        <w:t>Russia is a key destination for FDI outflows from Belarus (95,1% in 2011 and 58,5% in 2013). The share of Kazakh investments in Russia is increasing from 3,5 per cent in 2011 to 9,4 per cent in 2013. Armenian statistical bodies do not register any FDI outflows.</w:t>
      </w:r>
      <w:r w:rsidR="008E32B7">
        <w:rPr>
          <w:rFonts w:ascii="Times New Roman" w:hAnsi="Times New Roman" w:cs="Times New Roman"/>
          <w:sz w:val="28"/>
          <w:szCs w:val="28"/>
          <w:lang w:val="en-US"/>
        </w:rPr>
        <w:t xml:space="preserve"> Official statistics (like in the case of Russia) registers substantial volumes of investments coming from Cyprus in case of Belarus (graph 5) and from the Netherlands in case of Kazakhstan (graph 6). A part of this investments </w:t>
      </w:r>
      <w:r w:rsidR="009E1999">
        <w:rPr>
          <w:rFonts w:ascii="Times New Roman" w:hAnsi="Times New Roman" w:cs="Times New Roman"/>
          <w:sz w:val="28"/>
          <w:szCs w:val="28"/>
          <w:lang w:val="en-US"/>
        </w:rPr>
        <w:t>is</w:t>
      </w:r>
      <w:r w:rsidR="008E32B7">
        <w:rPr>
          <w:rFonts w:ascii="Times New Roman" w:hAnsi="Times New Roman" w:cs="Times New Roman"/>
          <w:sz w:val="28"/>
          <w:szCs w:val="28"/>
          <w:lang w:val="en-US"/>
        </w:rPr>
        <w:t xml:space="preserve"> originated in Russia.</w:t>
      </w:r>
    </w:p>
    <w:p w:rsidR="005D2896" w:rsidRPr="005D2896" w:rsidRDefault="00935537">
      <w:pPr>
        <w:rPr>
          <w:rFonts w:ascii="Times New Roman" w:hAnsi="Times New Roman" w:cs="Times New Roman"/>
          <w:sz w:val="28"/>
          <w:szCs w:val="28"/>
        </w:rPr>
      </w:pPr>
      <w:r w:rsidRPr="00935537">
        <w:rPr>
          <w:rFonts w:ascii="Times New Roman" w:hAnsi="Times New Roman" w:cs="Times New Roman"/>
          <w:noProof/>
          <w:sz w:val="28"/>
          <w:szCs w:val="28"/>
          <w:lang w:eastAsia="ru-RU"/>
        </w:rPr>
        <w:drawing>
          <wp:inline distT="0" distB="0" distL="0" distR="0">
            <wp:extent cx="3721100" cy="1911350"/>
            <wp:effectExtent l="19050" t="0" r="12700"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2896" w:rsidRDefault="008E32B7" w:rsidP="00D35E48">
      <w:p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Graph 5. </w:t>
      </w:r>
      <w:r w:rsidR="00FA2A50" w:rsidRPr="00FA2A50">
        <w:rPr>
          <w:rFonts w:ascii="Times New Roman" w:hAnsi="Times New Roman" w:cs="Times New Roman"/>
          <w:sz w:val="28"/>
          <w:szCs w:val="28"/>
          <w:lang w:val="en-US"/>
        </w:rPr>
        <w:t>FDI stock in RB, by 01/01/13, thousands of USD</w:t>
      </w:r>
    </w:p>
    <w:p w:rsidR="00600B52" w:rsidRDefault="00600B52" w:rsidP="00600B52">
      <w:pPr>
        <w:ind w:left="709" w:hanging="709"/>
        <w:jc w:val="both"/>
        <w:rPr>
          <w:rFonts w:ascii="Times New Roman" w:hAnsi="Times New Roman" w:cs="Times New Roman"/>
          <w:sz w:val="28"/>
          <w:szCs w:val="28"/>
          <w:lang w:val="en-US"/>
        </w:rPr>
      </w:pPr>
      <w:r>
        <w:rPr>
          <w:rFonts w:ascii="Times New Roman" w:hAnsi="Times New Roman" w:cs="Times New Roman"/>
          <w:sz w:val="28"/>
          <w:szCs w:val="28"/>
          <w:lang w:val="en-US"/>
        </w:rPr>
        <w:t>Source: National</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Statistical</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Committee</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Belarus</w:t>
      </w:r>
      <w:r w:rsidRPr="00600B52">
        <w:rPr>
          <w:rFonts w:ascii="Times New Roman" w:hAnsi="Times New Roman" w:cs="Times New Roman"/>
          <w:sz w:val="28"/>
          <w:szCs w:val="28"/>
          <w:lang w:val="en-US"/>
        </w:rPr>
        <w:t xml:space="preserve">. </w:t>
      </w:r>
      <w:r w:rsidRPr="00BD5348">
        <w:rPr>
          <w:rFonts w:ascii="Times New Roman" w:hAnsi="Times New Roman" w:cs="Times New Roman"/>
          <w:sz w:val="28"/>
          <w:szCs w:val="28"/>
          <w:lang w:val="en-US"/>
        </w:rPr>
        <w:t>www</w:t>
      </w:r>
      <w:r w:rsidRPr="00600B52">
        <w:rPr>
          <w:rFonts w:ascii="Times New Roman" w:hAnsi="Times New Roman" w:cs="Times New Roman"/>
          <w:sz w:val="28"/>
          <w:szCs w:val="28"/>
          <w:lang w:val="en-US"/>
        </w:rPr>
        <w:t>.</w:t>
      </w:r>
      <w:r w:rsidRPr="00BD5348">
        <w:rPr>
          <w:rFonts w:ascii="Times New Roman" w:hAnsi="Times New Roman" w:cs="Times New Roman"/>
          <w:sz w:val="28"/>
          <w:szCs w:val="28"/>
          <w:lang w:val="en-US"/>
        </w:rPr>
        <w:t>belstat</w:t>
      </w:r>
      <w:r w:rsidRPr="00600B52">
        <w:rPr>
          <w:rFonts w:ascii="Times New Roman" w:hAnsi="Times New Roman" w:cs="Times New Roman"/>
          <w:sz w:val="28"/>
          <w:szCs w:val="28"/>
          <w:lang w:val="en-US"/>
        </w:rPr>
        <w:t>.</w:t>
      </w:r>
      <w:r w:rsidRPr="00BD5348">
        <w:rPr>
          <w:rFonts w:ascii="Times New Roman" w:hAnsi="Times New Roman" w:cs="Times New Roman"/>
          <w:sz w:val="28"/>
          <w:szCs w:val="28"/>
          <w:lang w:val="en-US"/>
        </w:rPr>
        <w:t>gov</w:t>
      </w:r>
      <w:r w:rsidRPr="00600B52">
        <w:rPr>
          <w:rFonts w:ascii="Times New Roman" w:hAnsi="Times New Roman" w:cs="Times New Roman"/>
          <w:sz w:val="28"/>
          <w:szCs w:val="28"/>
          <w:lang w:val="en-US"/>
        </w:rPr>
        <w:t>.</w:t>
      </w:r>
      <w:r w:rsidRPr="00BD5348">
        <w:rPr>
          <w:rFonts w:ascii="Times New Roman" w:hAnsi="Times New Roman" w:cs="Times New Roman"/>
          <w:sz w:val="28"/>
          <w:szCs w:val="28"/>
          <w:lang w:val="en-US"/>
        </w:rPr>
        <w:t>by</w:t>
      </w:r>
    </w:p>
    <w:p w:rsidR="00EE12BE" w:rsidRPr="00FA2A50" w:rsidRDefault="00FA2A50" w:rsidP="00D35E48">
      <w:pPr>
        <w:spacing w:before="240"/>
        <w:rPr>
          <w:rFonts w:ascii="Times New Roman" w:hAnsi="Times New Roman" w:cs="Times New Roman"/>
          <w:sz w:val="28"/>
          <w:szCs w:val="28"/>
          <w:lang w:val="en-US"/>
        </w:rPr>
      </w:pPr>
      <w:r w:rsidRPr="00FA2A50">
        <w:rPr>
          <w:rFonts w:ascii="Times New Roman" w:hAnsi="Times New Roman" w:cs="Times New Roman"/>
          <w:noProof/>
          <w:sz w:val="28"/>
          <w:szCs w:val="28"/>
          <w:lang w:eastAsia="ru-RU"/>
        </w:rPr>
        <w:lastRenderedPageBreak/>
        <w:drawing>
          <wp:inline distT="0" distB="0" distL="0" distR="0">
            <wp:extent cx="5156200" cy="2565400"/>
            <wp:effectExtent l="19050" t="0" r="25400" b="635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A2A50" w:rsidRDefault="008E32B7" w:rsidP="00D35E48">
      <w:pPr>
        <w:spacing w:before="240"/>
        <w:rPr>
          <w:rFonts w:ascii="Times New Roman" w:hAnsi="Times New Roman" w:cs="Times New Roman"/>
          <w:sz w:val="28"/>
          <w:szCs w:val="28"/>
          <w:lang w:val="en-US"/>
        </w:rPr>
      </w:pPr>
      <w:r>
        <w:rPr>
          <w:rFonts w:ascii="Times New Roman" w:hAnsi="Times New Roman" w:cs="Times New Roman"/>
          <w:sz w:val="28"/>
          <w:szCs w:val="28"/>
          <w:lang w:val="en-US"/>
        </w:rPr>
        <w:t xml:space="preserve">Graph 6. </w:t>
      </w:r>
      <w:r w:rsidR="00FA2A50" w:rsidRPr="00FA2A50">
        <w:rPr>
          <w:rFonts w:ascii="Times New Roman" w:hAnsi="Times New Roman" w:cs="Times New Roman"/>
          <w:sz w:val="28"/>
          <w:szCs w:val="28"/>
          <w:lang w:val="en-US"/>
        </w:rPr>
        <w:t>FDI inflows to Kazakhstan, USD million</w:t>
      </w:r>
    </w:p>
    <w:p w:rsidR="003F1DE5" w:rsidRDefault="003F1DE5" w:rsidP="00D35E48">
      <w:pPr>
        <w:spacing w:before="240"/>
        <w:rPr>
          <w:rFonts w:ascii="Times New Roman" w:hAnsi="Times New Roman" w:cs="Times New Roman"/>
          <w:sz w:val="28"/>
          <w:szCs w:val="28"/>
          <w:lang w:val="en-US"/>
        </w:rPr>
      </w:pPr>
      <w:r>
        <w:rPr>
          <w:rFonts w:ascii="Times New Roman" w:hAnsi="Times New Roman" w:cs="Times New Roman"/>
          <w:sz w:val="28"/>
          <w:szCs w:val="28"/>
          <w:lang w:val="en-US"/>
        </w:rPr>
        <w:t>Source: Committee o</w:t>
      </w:r>
      <w:r w:rsidR="00ED2590">
        <w:rPr>
          <w:rFonts w:ascii="Times New Roman" w:hAnsi="Times New Roman" w:cs="Times New Roman"/>
          <w:sz w:val="28"/>
          <w:szCs w:val="28"/>
          <w:lang w:val="en-US"/>
        </w:rPr>
        <w:t>n</w:t>
      </w:r>
      <w:r>
        <w:rPr>
          <w:rFonts w:ascii="Times New Roman" w:hAnsi="Times New Roman" w:cs="Times New Roman"/>
          <w:sz w:val="28"/>
          <w:szCs w:val="28"/>
          <w:lang w:val="en-US"/>
        </w:rPr>
        <w:t xml:space="preserve"> statistics. Ministry of National Economy of the Republic of Kazakhstan. </w:t>
      </w:r>
      <w:r w:rsidRPr="003F1DE5">
        <w:rPr>
          <w:rFonts w:ascii="Times New Roman" w:hAnsi="Times New Roman" w:cs="Times New Roman"/>
          <w:sz w:val="28"/>
          <w:szCs w:val="28"/>
          <w:lang w:val="en-US"/>
        </w:rPr>
        <w:t>http://www.stat.gov.kz/</w:t>
      </w:r>
    </w:p>
    <w:p w:rsidR="00792D5B" w:rsidRPr="00033C70" w:rsidRDefault="008E32B7" w:rsidP="00D1713A">
      <w:pPr>
        <w:spacing w:before="240"/>
        <w:jc w:val="both"/>
        <w:rPr>
          <w:rFonts w:ascii="Times New Roman" w:hAnsi="Times New Roman" w:cs="Times New Roman"/>
          <w:sz w:val="28"/>
          <w:szCs w:val="28"/>
          <w:lang w:val="en-US"/>
        </w:rPr>
      </w:pPr>
      <w:r>
        <w:rPr>
          <w:rFonts w:ascii="Times New Roman" w:hAnsi="Times New Roman" w:cs="Times New Roman"/>
          <w:sz w:val="28"/>
          <w:szCs w:val="28"/>
          <w:lang w:val="en-US"/>
        </w:rPr>
        <w:t>Many large companies</w:t>
      </w:r>
      <w:r w:rsidRPr="008E32B7">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8E32B7">
        <w:rPr>
          <w:rFonts w:ascii="Times New Roman" w:hAnsi="Times New Roman" w:cs="Times New Roman"/>
          <w:sz w:val="28"/>
          <w:szCs w:val="28"/>
          <w:lang w:val="en-US"/>
        </w:rPr>
        <w:t xml:space="preserve"> </w:t>
      </w:r>
      <w:r>
        <w:rPr>
          <w:rFonts w:ascii="Times New Roman" w:hAnsi="Times New Roman" w:cs="Times New Roman"/>
          <w:sz w:val="28"/>
          <w:szCs w:val="28"/>
          <w:lang w:val="en-US"/>
        </w:rPr>
        <w:t>Armenia belong to the</w:t>
      </w:r>
      <w:r w:rsidR="00D1713A">
        <w:rPr>
          <w:rFonts w:ascii="Times New Roman" w:hAnsi="Times New Roman" w:cs="Times New Roman"/>
          <w:sz w:val="28"/>
          <w:szCs w:val="28"/>
          <w:lang w:val="en-US"/>
        </w:rPr>
        <w:t xml:space="preserve"> </w:t>
      </w:r>
      <w:r>
        <w:rPr>
          <w:rFonts w:ascii="Times New Roman" w:hAnsi="Times New Roman" w:cs="Times New Roman"/>
          <w:sz w:val="28"/>
          <w:szCs w:val="28"/>
          <w:lang w:val="en-US"/>
        </w:rPr>
        <w:t>Russian capital.</w:t>
      </w:r>
      <w:r w:rsidR="00D1713A">
        <w:rPr>
          <w:rFonts w:ascii="Times New Roman" w:hAnsi="Times New Roman" w:cs="Times New Roman"/>
          <w:sz w:val="28"/>
          <w:szCs w:val="28"/>
          <w:lang w:val="en-US"/>
        </w:rPr>
        <w:t xml:space="preserve"> Gazprom for many years was the largest shareholder of Armenian national gas monopoly </w:t>
      </w:r>
      <w:proofErr w:type="spellStart"/>
      <w:r w:rsidR="00D1713A">
        <w:rPr>
          <w:rFonts w:ascii="Times New Roman" w:hAnsi="Times New Roman" w:cs="Times New Roman"/>
          <w:sz w:val="28"/>
          <w:szCs w:val="28"/>
          <w:lang w:val="en-US"/>
        </w:rPr>
        <w:t>ArmRosgasprom</w:t>
      </w:r>
      <w:proofErr w:type="spellEnd"/>
      <w:r w:rsidR="009E1999">
        <w:rPr>
          <w:rFonts w:ascii="Times New Roman" w:hAnsi="Times New Roman" w:cs="Times New Roman"/>
          <w:sz w:val="28"/>
          <w:szCs w:val="28"/>
          <w:lang w:val="en-US"/>
        </w:rPr>
        <w:t xml:space="preserve"> (now – Gazprom</w:t>
      </w:r>
      <w:r w:rsidR="009E1999" w:rsidRPr="009E1999">
        <w:rPr>
          <w:rFonts w:ascii="Times New Roman" w:hAnsi="Times New Roman" w:cs="Times New Roman"/>
          <w:sz w:val="28"/>
          <w:szCs w:val="28"/>
          <w:lang w:val="en-US"/>
        </w:rPr>
        <w:t xml:space="preserve"> </w:t>
      </w:r>
      <w:r w:rsidR="009E1999">
        <w:rPr>
          <w:rFonts w:ascii="Times New Roman" w:hAnsi="Times New Roman" w:cs="Times New Roman"/>
          <w:sz w:val="28"/>
          <w:szCs w:val="28"/>
          <w:lang w:val="en-US"/>
        </w:rPr>
        <w:t>Armenia)</w:t>
      </w:r>
      <w:r w:rsidR="00D1713A">
        <w:rPr>
          <w:rFonts w:ascii="Times New Roman" w:hAnsi="Times New Roman" w:cs="Times New Roman"/>
          <w:sz w:val="28"/>
          <w:szCs w:val="28"/>
          <w:lang w:val="en-US"/>
        </w:rPr>
        <w:t>. In 2014 Gazprom increased its share in the company’s capital to 100%</w:t>
      </w:r>
      <w:r w:rsidR="00D1713A">
        <w:rPr>
          <w:rStyle w:val="a5"/>
          <w:rFonts w:ascii="Times New Roman" w:hAnsi="Times New Roman" w:cs="Times New Roman"/>
          <w:sz w:val="28"/>
          <w:szCs w:val="28"/>
          <w:lang w:val="en-US"/>
        </w:rPr>
        <w:footnoteReference w:id="16"/>
      </w:r>
      <w:r w:rsidR="00D1713A">
        <w:rPr>
          <w:rFonts w:ascii="Times New Roman" w:hAnsi="Times New Roman" w:cs="Times New Roman"/>
          <w:sz w:val="28"/>
          <w:szCs w:val="28"/>
          <w:lang w:val="en-US"/>
        </w:rPr>
        <w:t>. Russian</w:t>
      </w:r>
      <w:r w:rsidR="00D1713A" w:rsidRPr="00033C70">
        <w:rPr>
          <w:rFonts w:ascii="Times New Roman" w:hAnsi="Times New Roman" w:cs="Times New Roman"/>
          <w:sz w:val="28"/>
          <w:szCs w:val="28"/>
          <w:lang w:val="en-US"/>
        </w:rPr>
        <w:t xml:space="preserve"> </w:t>
      </w:r>
      <w:r w:rsidR="00D1713A">
        <w:rPr>
          <w:rFonts w:ascii="Times New Roman" w:hAnsi="Times New Roman" w:cs="Times New Roman"/>
          <w:sz w:val="28"/>
          <w:szCs w:val="28"/>
          <w:lang w:val="en-US"/>
        </w:rPr>
        <w:t>companies</w:t>
      </w:r>
      <w:r w:rsidR="00D1713A" w:rsidRPr="00033C70">
        <w:rPr>
          <w:rFonts w:ascii="Times New Roman" w:hAnsi="Times New Roman" w:cs="Times New Roman"/>
          <w:sz w:val="28"/>
          <w:szCs w:val="28"/>
          <w:lang w:val="en-US"/>
        </w:rPr>
        <w:t xml:space="preserve"> </w:t>
      </w:r>
      <w:r w:rsidR="00D1713A">
        <w:rPr>
          <w:rFonts w:ascii="Times New Roman" w:hAnsi="Times New Roman" w:cs="Times New Roman"/>
          <w:sz w:val="28"/>
          <w:szCs w:val="28"/>
          <w:lang w:val="en-US"/>
        </w:rPr>
        <w:t>invest</w:t>
      </w:r>
      <w:r w:rsidR="00D1713A" w:rsidRPr="00033C70">
        <w:rPr>
          <w:rFonts w:ascii="Times New Roman" w:hAnsi="Times New Roman" w:cs="Times New Roman"/>
          <w:sz w:val="28"/>
          <w:szCs w:val="28"/>
          <w:lang w:val="en-US"/>
        </w:rPr>
        <w:t xml:space="preserve"> </w:t>
      </w:r>
      <w:r w:rsidR="00D1713A">
        <w:rPr>
          <w:rFonts w:ascii="Times New Roman" w:hAnsi="Times New Roman" w:cs="Times New Roman"/>
          <w:sz w:val="28"/>
          <w:szCs w:val="28"/>
          <w:lang w:val="en-US"/>
        </w:rPr>
        <w:t>into</w:t>
      </w:r>
      <w:r w:rsidR="00D1713A" w:rsidRPr="00033C70">
        <w:rPr>
          <w:rFonts w:ascii="Times New Roman" w:hAnsi="Times New Roman" w:cs="Times New Roman"/>
          <w:sz w:val="28"/>
          <w:szCs w:val="28"/>
          <w:lang w:val="en-US"/>
        </w:rPr>
        <w:t xml:space="preserve"> </w:t>
      </w:r>
      <w:r w:rsidR="00D1713A">
        <w:rPr>
          <w:rFonts w:ascii="Times New Roman" w:hAnsi="Times New Roman" w:cs="Times New Roman"/>
          <w:sz w:val="28"/>
          <w:szCs w:val="28"/>
          <w:lang w:val="en-US"/>
        </w:rPr>
        <w:t>energy</w:t>
      </w:r>
      <w:r w:rsidR="00D1713A" w:rsidRPr="00033C70">
        <w:rPr>
          <w:rFonts w:ascii="Times New Roman" w:hAnsi="Times New Roman" w:cs="Times New Roman"/>
          <w:sz w:val="28"/>
          <w:szCs w:val="28"/>
          <w:lang w:val="en-US"/>
        </w:rPr>
        <w:t xml:space="preserve">, </w:t>
      </w:r>
      <w:r w:rsidR="00D1713A">
        <w:rPr>
          <w:rFonts w:ascii="Times New Roman" w:hAnsi="Times New Roman" w:cs="Times New Roman"/>
          <w:sz w:val="28"/>
          <w:szCs w:val="28"/>
          <w:lang w:val="en-US"/>
        </w:rPr>
        <w:t>metal</w:t>
      </w:r>
      <w:r w:rsidR="00D1713A" w:rsidRPr="00033C70">
        <w:rPr>
          <w:rFonts w:ascii="Times New Roman" w:hAnsi="Times New Roman" w:cs="Times New Roman"/>
          <w:sz w:val="28"/>
          <w:szCs w:val="28"/>
          <w:lang w:val="en-US"/>
        </w:rPr>
        <w:t xml:space="preserve">, </w:t>
      </w:r>
      <w:r w:rsidR="00D1713A">
        <w:rPr>
          <w:rFonts w:ascii="Times New Roman" w:hAnsi="Times New Roman" w:cs="Times New Roman"/>
          <w:sz w:val="28"/>
          <w:szCs w:val="28"/>
          <w:lang w:val="en-US"/>
        </w:rPr>
        <w:t>constriction</w:t>
      </w:r>
      <w:r w:rsidR="00D1713A" w:rsidRPr="00033C70">
        <w:rPr>
          <w:rFonts w:ascii="Times New Roman" w:hAnsi="Times New Roman" w:cs="Times New Roman"/>
          <w:sz w:val="28"/>
          <w:szCs w:val="28"/>
          <w:lang w:val="en-US"/>
        </w:rPr>
        <w:t xml:space="preserve"> </w:t>
      </w:r>
      <w:r w:rsidR="00D1713A">
        <w:rPr>
          <w:rFonts w:ascii="Times New Roman" w:hAnsi="Times New Roman" w:cs="Times New Roman"/>
          <w:sz w:val="28"/>
          <w:szCs w:val="28"/>
          <w:lang w:val="en-US"/>
        </w:rPr>
        <w:t>sectors</w:t>
      </w:r>
      <w:r w:rsidR="00033C70" w:rsidRPr="00033C70">
        <w:rPr>
          <w:rFonts w:ascii="Times New Roman" w:hAnsi="Times New Roman" w:cs="Times New Roman"/>
          <w:sz w:val="28"/>
          <w:szCs w:val="28"/>
          <w:lang w:val="en-US"/>
        </w:rPr>
        <w:t>,</w:t>
      </w:r>
      <w:r w:rsidR="00033C70">
        <w:rPr>
          <w:rFonts w:ascii="Times New Roman" w:hAnsi="Times New Roman" w:cs="Times New Roman"/>
          <w:sz w:val="28"/>
          <w:szCs w:val="28"/>
          <w:lang w:val="en-US"/>
        </w:rPr>
        <w:t xml:space="preserve"> banking and telecommunication services. Some</w:t>
      </w:r>
      <w:r w:rsidR="00033C70" w:rsidRPr="00033C70">
        <w:rPr>
          <w:rFonts w:ascii="Times New Roman" w:hAnsi="Times New Roman" w:cs="Times New Roman"/>
          <w:sz w:val="28"/>
          <w:szCs w:val="28"/>
          <w:lang w:val="en-US"/>
        </w:rPr>
        <w:t xml:space="preserve"> </w:t>
      </w:r>
      <w:r w:rsidR="00033C70">
        <w:rPr>
          <w:rFonts w:ascii="Times New Roman" w:hAnsi="Times New Roman" w:cs="Times New Roman"/>
          <w:sz w:val="28"/>
          <w:szCs w:val="28"/>
          <w:lang w:val="en-US"/>
        </w:rPr>
        <w:t>companies</w:t>
      </w:r>
      <w:r w:rsidR="00033C70" w:rsidRPr="00033C70">
        <w:rPr>
          <w:rFonts w:ascii="Times New Roman" w:hAnsi="Times New Roman" w:cs="Times New Roman"/>
          <w:sz w:val="28"/>
          <w:szCs w:val="28"/>
          <w:lang w:val="en-US"/>
        </w:rPr>
        <w:t xml:space="preserve"> </w:t>
      </w:r>
      <w:r w:rsidR="00033C70">
        <w:rPr>
          <w:rFonts w:ascii="Times New Roman" w:hAnsi="Times New Roman" w:cs="Times New Roman"/>
          <w:sz w:val="28"/>
          <w:szCs w:val="28"/>
          <w:lang w:val="en-US"/>
        </w:rPr>
        <w:t>were</w:t>
      </w:r>
      <w:r w:rsidR="00033C70" w:rsidRPr="00033C70">
        <w:rPr>
          <w:rFonts w:ascii="Times New Roman" w:hAnsi="Times New Roman" w:cs="Times New Roman"/>
          <w:sz w:val="28"/>
          <w:szCs w:val="28"/>
          <w:lang w:val="en-US"/>
        </w:rPr>
        <w:t xml:space="preserve"> </w:t>
      </w:r>
      <w:r w:rsidR="00236998">
        <w:rPr>
          <w:rFonts w:ascii="Times New Roman" w:hAnsi="Times New Roman" w:cs="Times New Roman"/>
          <w:sz w:val="28"/>
          <w:szCs w:val="28"/>
          <w:lang w:val="en-US"/>
        </w:rPr>
        <w:t>passed on from Armenia</w:t>
      </w:r>
      <w:r w:rsidR="00033C70">
        <w:rPr>
          <w:rFonts w:ascii="Times New Roman" w:hAnsi="Times New Roman" w:cs="Times New Roman"/>
          <w:sz w:val="28"/>
          <w:szCs w:val="28"/>
          <w:lang w:val="en-US"/>
        </w:rPr>
        <w:t xml:space="preserve"> to Russia to cover a certain pa</w:t>
      </w:r>
      <w:r w:rsidR="00236998">
        <w:rPr>
          <w:rFonts w:ascii="Times New Roman" w:hAnsi="Times New Roman" w:cs="Times New Roman"/>
          <w:sz w:val="28"/>
          <w:szCs w:val="28"/>
          <w:lang w:val="en-US"/>
        </w:rPr>
        <w:t>r</w:t>
      </w:r>
      <w:r w:rsidR="00033C70">
        <w:rPr>
          <w:rFonts w:ascii="Times New Roman" w:hAnsi="Times New Roman" w:cs="Times New Roman"/>
          <w:sz w:val="28"/>
          <w:szCs w:val="28"/>
          <w:lang w:val="en-US"/>
        </w:rPr>
        <w:t>t of national public debt.</w:t>
      </w:r>
    </w:p>
    <w:p w:rsidR="00FA2A50" w:rsidRPr="00FA2A50" w:rsidRDefault="00FA2A50">
      <w:pPr>
        <w:rPr>
          <w:rFonts w:ascii="Times New Roman" w:hAnsi="Times New Roman" w:cs="Times New Roman"/>
          <w:sz w:val="28"/>
          <w:szCs w:val="28"/>
          <w:lang w:val="en-US"/>
        </w:rPr>
      </w:pPr>
    </w:p>
    <w:p w:rsidR="00935537" w:rsidRPr="00674FDE" w:rsidRDefault="006169AE" w:rsidP="00935537">
      <w:pPr>
        <w:rPr>
          <w:rFonts w:ascii="Times New Roman" w:hAnsi="Times New Roman" w:cs="Times New Roman"/>
          <w:b/>
          <w:sz w:val="32"/>
          <w:szCs w:val="32"/>
          <w:lang w:val="en-US"/>
        </w:rPr>
      </w:pPr>
      <w:r>
        <w:rPr>
          <w:rFonts w:ascii="Times New Roman" w:hAnsi="Times New Roman" w:cs="Times New Roman"/>
          <w:b/>
          <w:sz w:val="32"/>
          <w:szCs w:val="32"/>
          <w:lang w:val="en-US"/>
        </w:rPr>
        <w:t>Business environment in the EAEU countries:</w:t>
      </w:r>
      <w:r>
        <w:rPr>
          <w:rFonts w:ascii="Times New Roman" w:hAnsi="Times New Roman" w:cs="Times New Roman"/>
          <w:b/>
          <w:sz w:val="32"/>
          <w:szCs w:val="32"/>
          <w:lang w:val="en-US"/>
        </w:rPr>
        <w:br/>
        <w:t>a comparative analysis</w:t>
      </w:r>
    </w:p>
    <w:p w:rsidR="00B4558D" w:rsidRPr="00BD0B4D" w:rsidRDefault="00F22B57" w:rsidP="00C33537">
      <w:pPr>
        <w:jc w:val="both"/>
        <w:rPr>
          <w:rFonts w:ascii="Times New Roman" w:hAnsi="Times New Roman" w:cs="Times New Roman"/>
          <w:sz w:val="28"/>
          <w:szCs w:val="28"/>
          <w:lang w:val="en-US"/>
        </w:rPr>
      </w:pPr>
      <w:r>
        <w:rPr>
          <w:rFonts w:ascii="Times New Roman" w:hAnsi="Times New Roman" w:cs="Times New Roman"/>
          <w:sz w:val="28"/>
          <w:szCs w:val="28"/>
          <w:lang w:val="en-US"/>
        </w:rPr>
        <w:t>Lowering transportation costs and the IT revolution give companies an opportunity to c</w:t>
      </w:r>
      <w:r w:rsidRPr="00F22B57">
        <w:rPr>
          <w:rFonts w:ascii="Times New Roman" w:hAnsi="Times New Roman" w:cs="Times New Roman"/>
          <w:sz w:val="28"/>
          <w:szCs w:val="28"/>
          <w:lang w:val="en-US"/>
        </w:rPr>
        <w:t xml:space="preserve"> coordinate their production needs on a real-time basis, no matter what the</w:t>
      </w:r>
      <w:r w:rsidRPr="00C70052">
        <w:rPr>
          <w:rFonts w:ascii="Times New Roman" w:hAnsi="Times New Roman" w:cs="Times New Roman"/>
          <w:sz w:val="28"/>
          <w:szCs w:val="28"/>
          <w:lang w:val="en-US"/>
        </w:rPr>
        <w:t xml:space="preserve"> geographical location of the producer</w:t>
      </w:r>
      <w:r>
        <w:rPr>
          <w:rStyle w:val="a5"/>
          <w:rFonts w:ascii="Times New Roman" w:hAnsi="Times New Roman" w:cs="Times New Roman"/>
          <w:sz w:val="28"/>
          <w:szCs w:val="28"/>
          <w:lang w:val="en-US"/>
        </w:rPr>
        <w:footnoteReference w:id="17"/>
      </w:r>
      <w:r w:rsidRPr="00C70052">
        <w:rPr>
          <w:rFonts w:ascii="Times New Roman" w:hAnsi="Times New Roman" w:cs="Times New Roman"/>
          <w:sz w:val="28"/>
          <w:szCs w:val="28"/>
          <w:lang w:val="en-US"/>
        </w:rPr>
        <w:t>.</w:t>
      </w:r>
      <w:r>
        <w:rPr>
          <w:rFonts w:ascii="Times New Roman" w:hAnsi="Times New Roman" w:cs="Times New Roman"/>
          <w:sz w:val="28"/>
          <w:szCs w:val="28"/>
          <w:lang w:val="en-US"/>
        </w:rPr>
        <w:t xml:space="preserve"> At the same time t</w:t>
      </w:r>
      <w:r w:rsidR="00B4558D" w:rsidRPr="00C33537">
        <w:rPr>
          <w:rFonts w:ascii="Times New Roman" w:hAnsi="Times New Roman" w:cs="Times New Roman"/>
          <w:sz w:val="28"/>
          <w:szCs w:val="28"/>
          <w:lang w:val="en-US"/>
        </w:rPr>
        <w:t xml:space="preserve">he bulk of existing </w:t>
      </w:r>
      <w:r w:rsidR="00C33537" w:rsidRPr="00C33537">
        <w:rPr>
          <w:rFonts w:ascii="Times New Roman" w:hAnsi="Times New Roman" w:cs="Times New Roman"/>
          <w:sz w:val="28"/>
          <w:szCs w:val="28"/>
          <w:lang w:val="en-US"/>
        </w:rPr>
        <w:t xml:space="preserve">global </w:t>
      </w:r>
      <w:r w:rsidR="00B4558D" w:rsidRPr="00C33537">
        <w:rPr>
          <w:rFonts w:ascii="Times New Roman" w:hAnsi="Times New Roman" w:cs="Times New Roman"/>
          <w:sz w:val="28"/>
          <w:szCs w:val="28"/>
          <w:lang w:val="en-US"/>
        </w:rPr>
        <w:t>value chains ha</w:t>
      </w:r>
      <w:r w:rsidR="00C33537">
        <w:rPr>
          <w:rFonts w:ascii="Times New Roman" w:hAnsi="Times New Roman" w:cs="Times New Roman"/>
          <w:sz w:val="28"/>
          <w:szCs w:val="28"/>
          <w:lang w:val="en-US"/>
        </w:rPr>
        <w:t xml:space="preserve">s a regional character. </w:t>
      </w:r>
      <w:r w:rsidR="008859F4">
        <w:rPr>
          <w:rFonts w:ascii="Times New Roman" w:hAnsi="Times New Roman" w:cs="Times New Roman"/>
          <w:sz w:val="28"/>
          <w:szCs w:val="28"/>
          <w:lang w:val="en-US"/>
        </w:rPr>
        <w:t xml:space="preserve">Regardless substantial lowering of transportation costs, distances still play an important role in business allocations. </w:t>
      </w:r>
      <w:r w:rsidR="008859F4" w:rsidRPr="008859F4">
        <w:rPr>
          <w:rFonts w:ascii="Times New Roman" w:hAnsi="Times New Roman" w:cs="Times New Roman"/>
          <w:sz w:val="28"/>
          <w:szCs w:val="28"/>
          <w:lang w:val="en-US"/>
        </w:rPr>
        <w:t xml:space="preserve">What matters is not only the distance between the suppliers of raw materials and semi-finished products, but also the distance to </w:t>
      </w:r>
      <w:r w:rsidR="008859F4">
        <w:rPr>
          <w:rFonts w:ascii="Times New Roman" w:hAnsi="Times New Roman" w:cs="Times New Roman"/>
          <w:sz w:val="28"/>
          <w:szCs w:val="28"/>
          <w:lang w:val="en-US"/>
        </w:rPr>
        <w:t xml:space="preserve">key </w:t>
      </w:r>
      <w:r w:rsidR="008859F4" w:rsidRPr="008859F4">
        <w:rPr>
          <w:rFonts w:ascii="Times New Roman" w:hAnsi="Times New Roman" w:cs="Times New Roman"/>
          <w:sz w:val="28"/>
          <w:szCs w:val="28"/>
          <w:lang w:val="en-US"/>
        </w:rPr>
        <w:t>markets</w:t>
      </w:r>
      <w:r w:rsidR="008859F4">
        <w:rPr>
          <w:rFonts w:ascii="Times New Roman" w:hAnsi="Times New Roman" w:cs="Times New Roman"/>
          <w:sz w:val="28"/>
          <w:szCs w:val="28"/>
          <w:lang w:val="en-US"/>
        </w:rPr>
        <w:t xml:space="preserve">. </w:t>
      </w:r>
      <w:r w:rsidR="00C33537">
        <w:rPr>
          <w:rFonts w:ascii="Times New Roman" w:hAnsi="Times New Roman" w:cs="Times New Roman"/>
          <w:sz w:val="28"/>
          <w:szCs w:val="28"/>
          <w:lang w:val="en-US"/>
        </w:rPr>
        <w:t xml:space="preserve">Among key centers of gravity there are North America, Europe and Eastern Asia. </w:t>
      </w:r>
      <w:r w:rsidR="00BD0B4D">
        <w:rPr>
          <w:rFonts w:ascii="Times New Roman" w:hAnsi="Times New Roman" w:cs="Times New Roman"/>
          <w:sz w:val="28"/>
          <w:szCs w:val="28"/>
          <w:lang w:val="en-US"/>
        </w:rPr>
        <w:t>Regional</w:t>
      </w:r>
      <w:r w:rsidR="00BD0B4D" w:rsidRPr="00BD0B4D">
        <w:rPr>
          <w:rFonts w:ascii="Times New Roman" w:hAnsi="Times New Roman" w:cs="Times New Roman"/>
          <w:sz w:val="28"/>
          <w:szCs w:val="28"/>
          <w:lang w:val="en-US"/>
        </w:rPr>
        <w:t xml:space="preserve"> </w:t>
      </w:r>
      <w:r w:rsidR="00BD0B4D">
        <w:rPr>
          <w:rFonts w:ascii="Times New Roman" w:hAnsi="Times New Roman" w:cs="Times New Roman"/>
          <w:sz w:val="28"/>
          <w:szCs w:val="28"/>
          <w:lang w:val="en-US"/>
        </w:rPr>
        <w:t>integration</w:t>
      </w:r>
      <w:r w:rsidR="00BD0B4D" w:rsidRPr="00BD0B4D">
        <w:rPr>
          <w:rFonts w:ascii="Times New Roman" w:hAnsi="Times New Roman" w:cs="Times New Roman"/>
          <w:sz w:val="28"/>
          <w:szCs w:val="28"/>
          <w:lang w:val="en-US"/>
        </w:rPr>
        <w:t xml:space="preserve"> </w:t>
      </w:r>
      <w:r w:rsidR="00BD0B4D">
        <w:rPr>
          <w:rFonts w:ascii="Times New Roman" w:hAnsi="Times New Roman" w:cs="Times New Roman"/>
          <w:sz w:val="28"/>
          <w:szCs w:val="28"/>
          <w:lang w:val="en-US"/>
        </w:rPr>
        <w:lastRenderedPageBreak/>
        <w:t>fosters</w:t>
      </w:r>
      <w:r w:rsidR="00BD0B4D" w:rsidRPr="00BD0B4D">
        <w:rPr>
          <w:rFonts w:ascii="Times New Roman" w:hAnsi="Times New Roman" w:cs="Times New Roman"/>
          <w:sz w:val="28"/>
          <w:szCs w:val="28"/>
          <w:lang w:val="en-US"/>
        </w:rPr>
        <w:t xml:space="preserve"> </w:t>
      </w:r>
      <w:r w:rsidR="00BD0B4D">
        <w:rPr>
          <w:rFonts w:ascii="Times New Roman" w:hAnsi="Times New Roman" w:cs="Times New Roman"/>
          <w:sz w:val="28"/>
          <w:szCs w:val="28"/>
          <w:lang w:val="en-US"/>
        </w:rPr>
        <w:t xml:space="preserve">development of RVCs due to harmonized provisions, e.g. rules of origin and all kind of </w:t>
      </w:r>
      <w:r w:rsidR="00BD0B4D" w:rsidRPr="00BD0B4D">
        <w:rPr>
          <w:rFonts w:ascii="Times New Roman" w:hAnsi="Times New Roman" w:cs="Times New Roman"/>
          <w:sz w:val="28"/>
          <w:szCs w:val="28"/>
          <w:lang w:val="en-US"/>
        </w:rPr>
        <w:t>behind-the-border regulatory issues</w:t>
      </w:r>
      <w:r w:rsidR="008859F4">
        <w:rPr>
          <w:rFonts w:ascii="Times New Roman" w:hAnsi="Times New Roman" w:cs="Times New Roman"/>
          <w:sz w:val="28"/>
          <w:szCs w:val="28"/>
          <w:lang w:val="en-US"/>
        </w:rPr>
        <w:t xml:space="preserve">. </w:t>
      </w:r>
      <w:r w:rsidR="008859F4" w:rsidRPr="008859F4">
        <w:rPr>
          <w:rFonts w:ascii="Times New Roman" w:hAnsi="Times New Roman" w:cs="Times New Roman"/>
          <w:sz w:val="28"/>
          <w:szCs w:val="28"/>
          <w:lang w:val="en-US"/>
        </w:rPr>
        <w:t xml:space="preserve">The distance factor can be minimized only by </w:t>
      </w:r>
      <w:r w:rsidR="008859F4">
        <w:rPr>
          <w:rFonts w:ascii="Times New Roman" w:hAnsi="Times New Roman" w:cs="Times New Roman"/>
          <w:sz w:val="28"/>
          <w:szCs w:val="28"/>
          <w:lang w:val="en-US"/>
        </w:rPr>
        <w:t xml:space="preserve">improving </w:t>
      </w:r>
      <w:r w:rsidR="008859F4" w:rsidRPr="008859F4">
        <w:rPr>
          <w:rFonts w:ascii="Times New Roman" w:hAnsi="Times New Roman" w:cs="Times New Roman"/>
          <w:sz w:val="28"/>
          <w:szCs w:val="28"/>
          <w:lang w:val="en-US"/>
        </w:rPr>
        <w:t>the quality of the entire range of logistics services</w:t>
      </w:r>
      <w:r w:rsidR="008859F4">
        <w:rPr>
          <w:rFonts w:ascii="Times New Roman" w:hAnsi="Times New Roman" w:cs="Times New Roman"/>
          <w:sz w:val="28"/>
          <w:szCs w:val="28"/>
          <w:lang w:val="en-US"/>
        </w:rPr>
        <w:t>.</w:t>
      </w:r>
    </w:p>
    <w:p w:rsidR="009A4603" w:rsidRDefault="009A4603" w:rsidP="009A4603">
      <w:pPr>
        <w:jc w:val="both"/>
        <w:rPr>
          <w:rFonts w:ascii="Times New Roman" w:hAnsi="Times New Roman" w:cs="Times New Roman"/>
          <w:sz w:val="28"/>
          <w:szCs w:val="28"/>
          <w:lang w:val="en-US"/>
        </w:rPr>
      </w:pPr>
      <w:r w:rsidRPr="009A4603">
        <w:rPr>
          <w:rFonts w:ascii="Times New Roman" w:hAnsi="Times New Roman" w:cs="Times New Roman"/>
          <w:sz w:val="28"/>
          <w:szCs w:val="28"/>
          <w:lang w:val="en-US"/>
        </w:rPr>
        <w:t>Distance is an important factor in explaining why GVCs actually operate as</w:t>
      </w:r>
      <w:r w:rsidR="008859F4">
        <w:rPr>
          <w:rFonts w:ascii="Times New Roman" w:hAnsi="Times New Roman" w:cs="Times New Roman"/>
          <w:sz w:val="28"/>
          <w:szCs w:val="28"/>
          <w:lang w:val="en-US"/>
        </w:rPr>
        <w:t xml:space="preserve"> “regional production patterns” – </w:t>
      </w:r>
      <w:r w:rsidRPr="009A4603">
        <w:rPr>
          <w:rFonts w:ascii="Times New Roman" w:hAnsi="Times New Roman" w:cs="Times New Roman"/>
          <w:sz w:val="28"/>
          <w:szCs w:val="28"/>
          <w:lang w:val="en-US"/>
        </w:rPr>
        <w:t>what matters is not only the distance between suppliers of inputs but also the distance to markets. The distance factor can be overcome, however, but only if the operation of port/airport facilities and accompanying services (ICT services, customs clearance procedures, low inventory cost systems, among others) can compensate for the greater distance with greater efficiency</w:t>
      </w:r>
      <w:r w:rsidR="008859F4">
        <w:rPr>
          <w:rStyle w:val="a5"/>
          <w:rFonts w:ascii="Times New Roman" w:hAnsi="Times New Roman" w:cs="Times New Roman"/>
          <w:sz w:val="28"/>
          <w:szCs w:val="28"/>
          <w:lang w:val="en-US"/>
        </w:rPr>
        <w:footnoteReference w:id="18"/>
      </w:r>
      <w:r w:rsidR="00F22B57">
        <w:rPr>
          <w:rFonts w:ascii="Times New Roman" w:hAnsi="Times New Roman" w:cs="Times New Roman"/>
          <w:sz w:val="28"/>
          <w:szCs w:val="28"/>
          <w:lang w:val="en-US"/>
        </w:rPr>
        <w:t>.</w:t>
      </w:r>
    </w:p>
    <w:p w:rsidR="00E51A4E" w:rsidRDefault="000E523D"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While large TNCs initiate development of the GVCs, SM</w:t>
      </w:r>
      <w:r w:rsidR="00E51A4E">
        <w:rPr>
          <w:rFonts w:ascii="Times New Roman" w:hAnsi="Times New Roman" w:cs="Times New Roman"/>
          <w:sz w:val="28"/>
          <w:szCs w:val="28"/>
          <w:lang w:val="en-US"/>
        </w:rPr>
        <w:t>Es actively participate in the networks. I</w:t>
      </w:r>
      <w:r w:rsidR="00E51A4E" w:rsidRPr="00E51A4E">
        <w:rPr>
          <w:rFonts w:ascii="Times New Roman" w:hAnsi="Times New Roman" w:cs="Times New Roman"/>
          <w:sz w:val="28"/>
          <w:szCs w:val="28"/>
          <w:lang w:val="en-US"/>
        </w:rPr>
        <w:t xml:space="preserve">n quantitative terms, the vast majority of companies participating in GVCs </w:t>
      </w:r>
      <w:r w:rsidR="00E51A4E">
        <w:rPr>
          <w:rFonts w:ascii="Times New Roman" w:hAnsi="Times New Roman" w:cs="Times New Roman"/>
          <w:sz w:val="28"/>
          <w:szCs w:val="28"/>
          <w:lang w:val="en-US"/>
        </w:rPr>
        <w:t>belong to the category of</w:t>
      </w:r>
      <w:r w:rsidR="00E51A4E" w:rsidRPr="00E51A4E">
        <w:rPr>
          <w:rFonts w:ascii="Times New Roman" w:hAnsi="Times New Roman" w:cs="Times New Roman"/>
          <w:sz w:val="28"/>
          <w:szCs w:val="28"/>
          <w:lang w:val="en-US"/>
        </w:rPr>
        <w:t xml:space="preserve"> SMEs</w:t>
      </w:r>
      <w:r w:rsidR="00E51A4E">
        <w:rPr>
          <w:rFonts w:ascii="Times New Roman" w:hAnsi="Times New Roman" w:cs="Times New Roman"/>
          <w:sz w:val="28"/>
          <w:szCs w:val="28"/>
          <w:lang w:val="en-US"/>
        </w:rPr>
        <w:t>. Both TNCs and SMEs face barriers in their way to build/to be included to the GVCs. While for large companies they consists of issues of organization and ensuring</w:t>
      </w:r>
      <w:r w:rsidR="00E51A4E" w:rsidRPr="00E51A4E">
        <w:rPr>
          <w:rFonts w:ascii="Times New Roman" w:hAnsi="Times New Roman" w:cs="Times New Roman"/>
          <w:sz w:val="28"/>
          <w:szCs w:val="28"/>
          <w:lang w:val="en-US"/>
        </w:rPr>
        <w:t xml:space="preserve"> the sustainability of the </w:t>
      </w:r>
      <w:r w:rsidR="00E51A4E">
        <w:rPr>
          <w:rFonts w:ascii="Times New Roman" w:hAnsi="Times New Roman" w:cs="Times New Roman"/>
          <w:sz w:val="28"/>
          <w:szCs w:val="28"/>
          <w:lang w:val="en-US"/>
        </w:rPr>
        <w:t>chains</w:t>
      </w:r>
      <w:r w:rsidR="00E51A4E" w:rsidRPr="00E51A4E">
        <w:rPr>
          <w:rFonts w:ascii="Times New Roman" w:hAnsi="Times New Roman" w:cs="Times New Roman"/>
          <w:sz w:val="28"/>
          <w:szCs w:val="28"/>
          <w:lang w:val="en-US"/>
        </w:rPr>
        <w:t xml:space="preserve">, in particular, </w:t>
      </w:r>
      <w:r w:rsidR="00E51A4E">
        <w:rPr>
          <w:rFonts w:ascii="Times New Roman" w:hAnsi="Times New Roman" w:cs="Times New Roman"/>
          <w:sz w:val="28"/>
          <w:szCs w:val="28"/>
          <w:lang w:val="en-US"/>
        </w:rPr>
        <w:t xml:space="preserve">choosing proper partners, taking into consideration </w:t>
      </w:r>
      <w:r w:rsidR="00E51A4E" w:rsidRPr="00E51A4E">
        <w:rPr>
          <w:rFonts w:ascii="Times New Roman" w:hAnsi="Times New Roman" w:cs="Times New Roman"/>
          <w:sz w:val="28"/>
          <w:szCs w:val="28"/>
          <w:lang w:val="en-US"/>
        </w:rPr>
        <w:t>cross-cultural differences, language barriers, etc.</w:t>
      </w:r>
      <w:r w:rsidR="00DD6D8F">
        <w:rPr>
          <w:rFonts w:ascii="Times New Roman" w:hAnsi="Times New Roman" w:cs="Times New Roman"/>
          <w:sz w:val="28"/>
          <w:szCs w:val="28"/>
          <w:lang w:val="en-US"/>
        </w:rPr>
        <w:t>;</w:t>
      </w:r>
      <w:r w:rsidR="00E51A4E">
        <w:rPr>
          <w:rFonts w:ascii="Times New Roman" w:hAnsi="Times New Roman" w:cs="Times New Roman"/>
          <w:sz w:val="28"/>
          <w:szCs w:val="28"/>
          <w:lang w:val="en-US"/>
        </w:rPr>
        <w:t xml:space="preserve"> for smaller companies they include </w:t>
      </w:r>
      <w:r w:rsidR="00E51A4E" w:rsidRPr="00C70052">
        <w:rPr>
          <w:rFonts w:ascii="Times New Roman" w:hAnsi="Times New Roman" w:cs="Times New Roman"/>
          <w:sz w:val="28"/>
          <w:szCs w:val="28"/>
          <w:lang w:val="en-US"/>
        </w:rPr>
        <w:t xml:space="preserve">access to </w:t>
      </w:r>
      <w:r w:rsidR="00DD6D8F">
        <w:rPr>
          <w:rFonts w:ascii="Times New Roman" w:hAnsi="Times New Roman" w:cs="Times New Roman"/>
          <w:sz w:val="28"/>
          <w:szCs w:val="28"/>
          <w:lang w:val="en-US"/>
        </w:rPr>
        <w:t>trade financing,</w:t>
      </w:r>
      <w:r w:rsidR="00E51A4E" w:rsidRPr="00C70052">
        <w:rPr>
          <w:rFonts w:ascii="Times New Roman" w:hAnsi="Times New Roman" w:cs="Times New Roman"/>
          <w:sz w:val="28"/>
          <w:szCs w:val="28"/>
          <w:lang w:val="en-US"/>
        </w:rPr>
        <w:t xml:space="preserve"> identifying partners for GVC operations</w:t>
      </w:r>
      <w:r w:rsidR="00DD6D8F">
        <w:rPr>
          <w:rFonts w:ascii="Times New Roman" w:hAnsi="Times New Roman" w:cs="Times New Roman"/>
          <w:sz w:val="28"/>
          <w:szCs w:val="28"/>
          <w:lang w:val="en-US"/>
        </w:rPr>
        <w:t>,</w:t>
      </w:r>
      <w:r w:rsidR="00E51A4E" w:rsidRPr="00C70052">
        <w:rPr>
          <w:rFonts w:ascii="Times New Roman" w:hAnsi="Times New Roman" w:cs="Times New Roman"/>
          <w:sz w:val="28"/>
          <w:szCs w:val="28"/>
          <w:lang w:val="en-US"/>
        </w:rPr>
        <w:t xml:space="preserve"> payment processing</w:t>
      </w:r>
      <w:r w:rsidR="00DD6D8F">
        <w:rPr>
          <w:rFonts w:ascii="Times New Roman" w:hAnsi="Times New Roman" w:cs="Times New Roman"/>
          <w:sz w:val="28"/>
          <w:szCs w:val="28"/>
          <w:lang w:val="en-US"/>
        </w:rPr>
        <w:t xml:space="preserve"> issues, trade barriers (transportation costs). There are also other external challenges that influence development of the GVCs</w:t>
      </w:r>
      <w:r w:rsidR="00140100">
        <w:rPr>
          <w:rFonts w:ascii="Times New Roman" w:hAnsi="Times New Roman" w:cs="Times New Roman"/>
          <w:sz w:val="28"/>
          <w:szCs w:val="28"/>
          <w:lang w:val="en-US"/>
        </w:rPr>
        <w:t xml:space="preserve"> that include customs regulations, rules of origin application, technical regulation and logistic infrastructure.</w:t>
      </w:r>
    </w:p>
    <w:p w:rsidR="00F267BE" w:rsidRDefault="00F267BE"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In the EAEU (like in the RBK CU) one could expect a substantial growth of the RVCs development due to the elimination of custom procedures</w:t>
      </w:r>
      <w:r w:rsidR="00A32893">
        <w:rPr>
          <w:rFonts w:ascii="Times New Roman" w:hAnsi="Times New Roman" w:cs="Times New Roman"/>
          <w:sz w:val="28"/>
          <w:szCs w:val="28"/>
          <w:lang w:val="en-US"/>
        </w:rPr>
        <w:t>,</w:t>
      </w:r>
      <w:r>
        <w:rPr>
          <w:rFonts w:ascii="Times New Roman" w:hAnsi="Times New Roman" w:cs="Times New Roman"/>
          <w:sz w:val="28"/>
          <w:szCs w:val="28"/>
          <w:lang w:val="en-US"/>
        </w:rPr>
        <w:t xml:space="preserve"> attempts made towards technical regulation</w:t>
      </w:r>
      <w:r w:rsidR="00A32893">
        <w:rPr>
          <w:rFonts w:ascii="Times New Roman" w:hAnsi="Times New Roman" w:cs="Times New Roman"/>
          <w:sz w:val="28"/>
          <w:szCs w:val="28"/>
          <w:lang w:val="en-US"/>
        </w:rPr>
        <w:t xml:space="preserve">, and the single market creation (with some </w:t>
      </w:r>
      <w:r w:rsidR="008214E3">
        <w:rPr>
          <w:rFonts w:ascii="Times New Roman" w:hAnsi="Times New Roman" w:cs="Times New Roman"/>
          <w:sz w:val="28"/>
          <w:szCs w:val="28"/>
          <w:lang w:val="en-US"/>
        </w:rPr>
        <w:t>exceptions</w:t>
      </w:r>
      <w:r w:rsidR="00A32893">
        <w:rPr>
          <w:rFonts w:ascii="Times New Roman" w:hAnsi="Times New Roman" w:cs="Times New Roman"/>
          <w:sz w:val="28"/>
          <w:szCs w:val="28"/>
          <w:lang w:val="en-US"/>
        </w:rPr>
        <w:t>)</w:t>
      </w:r>
      <w:r>
        <w:rPr>
          <w:rFonts w:ascii="Times New Roman" w:hAnsi="Times New Roman" w:cs="Times New Roman"/>
          <w:sz w:val="28"/>
          <w:szCs w:val="28"/>
          <w:lang w:val="en-US"/>
        </w:rPr>
        <w:t>. Even though cross-cultural issues exist, the cultural distance not so huge due to the common Soviet history. At the same time, as it was shown in the previous part of the paper, mutual trade and investment flows decrease. Partly this could be explained by the consequences of economic crises, but key reasons behind that</w:t>
      </w:r>
      <w:r w:rsidR="00FE6F1D">
        <w:rPr>
          <w:rFonts w:ascii="Times New Roman" w:hAnsi="Times New Roman" w:cs="Times New Roman"/>
          <w:sz w:val="28"/>
          <w:szCs w:val="28"/>
          <w:lang w:val="en-US"/>
        </w:rPr>
        <w:t xml:space="preserve"> come from barriers that still influence cooperation between the member states.</w:t>
      </w:r>
    </w:p>
    <w:p w:rsidR="00586BDB" w:rsidRDefault="00586BDB"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With the elimination of tariff barriers other factors influencing mutual trade and investment flows, as well as non-tariff barriers, </w:t>
      </w:r>
      <w:r w:rsidR="002A3465">
        <w:rPr>
          <w:rFonts w:ascii="Times New Roman" w:hAnsi="Times New Roman" w:cs="Times New Roman"/>
          <w:sz w:val="28"/>
          <w:szCs w:val="28"/>
          <w:lang w:val="en-US"/>
        </w:rPr>
        <w:t>logistic infrastructure.</w:t>
      </w:r>
    </w:p>
    <w:p w:rsidR="002A3465" w:rsidRDefault="002A3465"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8214E3">
        <w:rPr>
          <w:rFonts w:ascii="Times New Roman" w:hAnsi="Times New Roman" w:cs="Times New Roman"/>
          <w:sz w:val="28"/>
          <w:szCs w:val="28"/>
          <w:lang w:val="en-US"/>
        </w:rPr>
        <w:t>o get an understanding on the entrepreneurial environment</w:t>
      </w:r>
      <w:r>
        <w:rPr>
          <w:rFonts w:ascii="Times New Roman" w:hAnsi="Times New Roman" w:cs="Times New Roman"/>
          <w:sz w:val="28"/>
          <w:szCs w:val="28"/>
          <w:lang w:val="en-US"/>
        </w:rPr>
        <w:t xml:space="preserve"> one could rely on the World Bank doing business report. Appendix 2 contains key indicators used in the report in respect to the EAEU member states. </w:t>
      </w:r>
      <w:r w:rsidR="008214E3">
        <w:rPr>
          <w:rFonts w:ascii="Times New Roman" w:hAnsi="Times New Roman" w:cs="Times New Roman"/>
          <w:sz w:val="28"/>
          <w:szCs w:val="28"/>
          <w:lang w:val="en-US"/>
        </w:rPr>
        <w:t xml:space="preserve">Armenia has the highest rank in ease </w:t>
      </w:r>
      <w:r w:rsidR="008214E3">
        <w:rPr>
          <w:rFonts w:ascii="Times New Roman" w:hAnsi="Times New Roman" w:cs="Times New Roman"/>
          <w:sz w:val="28"/>
          <w:szCs w:val="28"/>
          <w:lang w:val="en-US"/>
        </w:rPr>
        <w:lastRenderedPageBreak/>
        <w:t xml:space="preserve">of doing business ranking among four countries. It also requires a smaller number of procedures and days to create a new company. Belarus is better in terms of getting construction permits (including number of procedures and costs), Kazakhstan – in getting </w:t>
      </w:r>
      <w:r w:rsidR="00082BD8">
        <w:rPr>
          <w:rFonts w:ascii="Times New Roman" w:hAnsi="Times New Roman" w:cs="Times New Roman"/>
          <w:sz w:val="28"/>
          <w:szCs w:val="28"/>
          <w:lang w:val="en-US"/>
        </w:rPr>
        <w:t xml:space="preserve">electricity. According to the review, </w:t>
      </w:r>
      <w:r w:rsidR="00806480">
        <w:rPr>
          <w:rFonts w:ascii="Times New Roman" w:hAnsi="Times New Roman" w:cs="Times New Roman"/>
          <w:sz w:val="28"/>
          <w:szCs w:val="28"/>
          <w:lang w:val="en-US"/>
        </w:rPr>
        <w:t>Russian Federation showed the lowest performance in 2014</w:t>
      </w:r>
      <w:r w:rsidR="00806480">
        <w:rPr>
          <w:rStyle w:val="a5"/>
          <w:rFonts w:ascii="Times New Roman" w:hAnsi="Times New Roman" w:cs="Times New Roman"/>
          <w:sz w:val="28"/>
          <w:szCs w:val="28"/>
          <w:lang w:val="en-US"/>
        </w:rPr>
        <w:footnoteReference w:id="19"/>
      </w:r>
      <w:r w:rsidR="00806480">
        <w:rPr>
          <w:rFonts w:ascii="Times New Roman" w:hAnsi="Times New Roman" w:cs="Times New Roman"/>
          <w:sz w:val="28"/>
          <w:szCs w:val="28"/>
          <w:lang w:val="en-US"/>
        </w:rPr>
        <w:t>.</w:t>
      </w:r>
    </w:p>
    <w:p w:rsidR="00806480" w:rsidRDefault="00806480"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In 2015 the Eurasian Bank of Development finalize</w:t>
      </w:r>
      <w:r w:rsidR="00895BD0">
        <w:rPr>
          <w:rFonts w:ascii="Times New Roman" w:hAnsi="Times New Roman" w:cs="Times New Roman"/>
          <w:sz w:val="28"/>
          <w:szCs w:val="28"/>
          <w:lang w:val="en-US"/>
        </w:rPr>
        <w:t>d</w:t>
      </w:r>
      <w:r>
        <w:rPr>
          <w:rFonts w:ascii="Times New Roman" w:hAnsi="Times New Roman" w:cs="Times New Roman"/>
          <w:sz w:val="28"/>
          <w:szCs w:val="28"/>
          <w:lang w:val="en-US"/>
        </w:rPr>
        <w:t xml:space="preserve"> non-tariff measures influencing development of mutual cooperation between Russia, Belarus an</w:t>
      </w:r>
      <w:r w:rsidR="00895BD0">
        <w:rPr>
          <w:rFonts w:ascii="Times New Roman" w:hAnsi="Times New Roman" w:cs="Times New Roman"/>
          <w:sz w:val="28"/>
          <w:szCs w:val="28"/>
          <w:lang w:val="en-US"/>
        </w:rPr>
        <w:t>d</w:t>
      </w:r>
      <w:r>
        <w:rPr>
          <w:rFonts w:ascii="Times New Roman" w:hAnsi="Times New Roman" w:cs="Times New Roman"/>
          <w:sz w:val="28"/>
          <w:szCs w:val="28"/>
          <w:lang w:val="en-US"/>
        </w:rPr>
        <w:t xml:space="preserve"> Kazakhstan. </w:t>
      </w:r>
      <w:r w:rsidR="00895BD0">
        <w:rPr>
          <w:rFonts w:ascii="Times New Roman" w:hAnsi="Times New Roman" w:cs="Times New Roman"/>
          <w:sz w:val="28"/>
          <w:szCs w:val="28"/>
          <w:lang w:val="en-US"/>
        </w:rPr>
        <w:t>According to the survey, t</w:t>
      </w:r>
      <w:r w:rsidR="00895BD0" w:rsidRPr="00895BD0">
        <w:rPr>
          <w:rFonts w:ascii="Times New Roman" w:hAnsi="Times New Roman" w:cs="Times New Roman"/>
          <w:sz w:val="28"/>
          <w:szCs w:val="28"/>
          <w:lang w:val="en-US"/>
        </w:rPr>
        <w:t xml:space="preserve">he main barriers that increase </w:t>
      </w:r>
      <w:r w:rsidR="00895BD0">
        <w:rPr>
          <w:rFonts w:ascii="Times New Roman" w:hAnsi="Times New Roman" w:cs="Times New Roman"/>
          <w:sz w:val="28"/>
          <w:szCs w:val="28"/>
          <w:lang w:val="en-US"/>
        </w:rPr>
        <w:t>the cost of trade within the EAEU</w:t>
      </w:r>
      <w:r w:rsidR="00895BD0" w:rsidRPr="00895BD0">
        <w:rPr>
          <w:rFonts w:ascii="Times New Roman" w:hAnsi="Times New Roman" w:cs="Times New Roman"/>
          <w:sz w:val="28"/>
          <w:szCs w:val="28"/>
          <w:lang w:val="en-US"/>
        </w:rPr>
        <w:t xml:space="preserve"> are technical </w:t>
      </w:r>
      <w:r w:rsidR="00895BD0">
        <w:rPr>
          <w:rFonts w:ascii="Times New Roman" w:hAnsi="Times New Roman" w:cs="Times New Roman"/>
          <w:sz w:val="28"/>
          <w:szCs w:val="28"/>
          <w:lang w:val="en-US"/>
        </w:rPr>
        <w:t>ones</w:t>
      </w:r>
      <w:r w:rsidR="00895BD0" w:rsidRPr="00895BD0">
        <w:rPr>
          <w:rFonts w:ascii="Times New Roman" w:hAnsi="Times New Roman" w:cs="Times New Roman"/>
          <w:sz w:val="28"/>
          <w:szCs w:val="28"/>
          <w:lang w:val="en-US"/>
        </w:rPr>
        <w:t xml:space="preserve">, </w:t>
      </w:r>
      <w:r w:rsidR="002F286A">
        <w:rPr>
          <w:rFonts w:ascii="Times New Roman" w:hAnsi="Times New Roman" w:cs="Times New Roman"/>
          <w:sz w:val="28"/>
          <w:szCs w:val="28"/>
          <w:lang w:val="en-US"/>
        </w:rPr>
        <w:t xml:space="preserve">including obligatory testing requirements and certification, as well as </w:t>
      </w:r>
      <w:r w:rsidR="00895BD0" w:rsidRPr="00895BD0">
        <w:rPr>
          <w:rFonts w:ascii="Times New Roman" w:hAnsi="Times New Roman" w:cs="Times New Roman"/>
          <w:sz w:val="28"/>
          <w:szCs w:val="28"/>
          <w:lang w:val="en-US"/>
        </w:rPr>
        <w:t>measures that affect competition and price contro</w:t>
      </w:r>
      <w:r w:rsidR="002F286A">
        <w:rPr>
          <w:rFonts w:ascii="Times New Roman" w:hAnsi="Times New Roman" w:cs="Times New Roman"/>
          <w:sz w:val="28"/>
          <w:szCs w:val="28"/>
          <w:lang w:val="en-US"/>
        </w:rPr>
        <w:t xml:space="preserve">ls. All in all, Belorussian companies estimate effect from all barriers as about 15% of export price, while </w:t>
      </w:r>
      <w:r w:rsidR="002F286A" w:rsidRPr="002F286A">
        <w:rPr>
          <w:rFonts w:ascii="Times New Roman" w:hAnsi="Times New Roman" w:cs="Times New Roman"/>
          <w:sz w:val="28"/>
          <w:szCs w:val="28"/>
          <w:lang w:val="en-US"/>
        </w:rPr>
        <w:t>valuation</w:t>
      </w:r>
      <w:r w:rsidR="002F286A">
        <w:rPr>
          <w:rFonts w:ascii="Times New Roman" w:hAnsi="Times New Roman" w:cs="Times New Roman"/>
          <w:sz w:val="28"/>
          <w:szCs w:val="28"/>
          <w:lang w:val="en-US"/>
        </w:rPr>
        <w:t>s of Russian and Kazakh businessman indicate almost 25%</w:t>
      </w:r>
      <w:r w:rsidR="00895BD0">
        <w:rPr>
          <w:rStyle w:val="a5"/>
          <w:rFonts w:ascii="Times New Roman" w:hAnsi="Times New Roman" w:cs="Times New Roman"/>
          <w:sz w:val="28"/>
          <w:szCs w:val="28"/>
          <w:lang w:val="en-US"/>
        </w:rPr>
        <w:footnoteReference w:id="20"/>
      </w:r>
      <w:r w:rsidR="00895BD0" w:rsidRPr="00895BD0">
        <w:rPr>
          <w:rFonts w:ascii="Times New Roman" w:hAnsi="Times New Roman" w:cs="Times New Roman"/>
          <w:sz w:val="28"/>
          <w:szCs w:val="28"/>
          <w:lang w:val="en-US"/>
        </w:rPr>
        <w:t>.</w:t>
      </w:r>
      <w:r w:rsidR="002F286A">
        <w:rPr>
          <w:rFonts w:ascii="Times New Roman" w:hAnsi="Times New Roman" w:cs="Times New Roman"/>
          <w:sz w:val="28"/>
          <w:szCs w:val="28"/>
          <w:lang w:val="en-US"/>
        </w:rPr>
        <w:t xml:space="preserve"> As a results, countries mutual trade is represented by the narrow assortment of products with the exception of Belarusian export to Russia.</w:t>
      </w:r>
    </w:p>
    <w:p w:rsidR="00E51A4E" w:rsidRDefault="00E51A4E" w:rsidP="00E51A4E">
      <w:pPr>
        <w:jc w:val="both"/>
        <w:rPr>
          <w:rFonts w:ascii="Times New Roman" w:hAnsi="Times New Roman" w:cs="Times New Roman"/>
          <w:sz w:val="28"/>
          <w:szCs w:val="28"/>
          <w:lang w:val="en-US"/>
        </w:rPr>
      </w:pPr>
      <w:r w:rsidRPr="00E51A4E">
        <w:rPr>
          <w:rFonts w:ascii="Times New Roman" w:hAnsi="Times New Roman" w:cs="Times New Roman"/>
          <w:sz w:val="28"/>
          <w:szCs w:val="28"/>
          <w:lang w:val="en-US"/>
        </w:rPr>
        <w:t>Firms from countries with a low level of logistics infrastructure have minimal chances to participate</w:t>
      </w:r>
      <w:r>
        <w:rPr>
          <w:rFonts w:ascii="Times New Roman" w:hAnsi="Times New Roman" w:cs="Times New Roman"/>
          <w:sz w:val="28"/>
          <w:szCs w:val="28"/>
          <w:lang w:val="en-US"/>
        </w:rPr>
        <w:t xml:space="preserve"> in the </w:t>
      </w:r>
      <w:r w:rsidR="00FE6F1D">
        <w:rPr>
          <w:rFonts w:ascii="Times New Roman" w:hAnsi="Times New Roman" w:cs="Times New Roman"/>
          <w:sz w:val="28"/>
          <w:szCs w:val="28"/>
          <w:lang w:val="en-US"/>
        </w:rPr>
        <w:t>value chains</w:t>
      </w:r>
      <w:r>
        <w:rPr>
          <w:rFonts w:ascii="Times New Roman" w:hAnsi="Times New Roman" w:cs="Times New Roman"/>
          <w:sz w:val="28"/>
          <w:szCs w:val="28"/>
          <w:lang w:val="en-US"/>
        </w:rPr>
        <w:t>.</w:t>
      </w:r>
      <w:r w:rsidR="00FE6F1D">
        <w:rPr>
          <w:rFonts w:ascii="Times New Roman" w:hAnsi="Times New Roman" w:cs="Times New Roman"/>
          <w:sz w:val="28"/>
          <w:szCs w:val="28"/>
          <w:lang w:val="en-US"/>
        </w:rPr>
        <w:t xml:space="preserve"> This is a key issue for Armenia, that does not have a land or a sea border with other EAEU members. In cooperation with Russia Armenia is working on infrastructure development: </w:t>
      </w:r>
      <w:r w:rsidR="00A32893">
        <w:rPr>
          <w:rFonts w:ascii="Times New Roman" w:hAnsi="Times New Roman" w:cs="Times New Roman"/>
          <w:sz w:val="28"/>
          <w:szCs w:val="28"/>
          <w:lang w:val="en-US"/>
        </w:rPr>
        <w:t>construction</w:t>
      </w:r>
      <w:r w:rsidR="00FE6F1D">
        <w:rPr>
          <w:rFonts w:ascii="Times New Roman" w:hAnsi="Times New Roman" w:cs="Times New Roman"/>
          <w:sz w:val="28"/>
          <w:szCs w:val="28"/>
          <w:lang w:val="en-US"/>
        </w:rPr>
        <w:t xml:space="preserve"> of </w:t>
      </w:r>
      <w:r w:rsidR="00FE6F1D" w:rsidRPr="00FE6F1D">
        <w:rPr>
          <w:rFonts w:ascii="Times New Roman" w:hAnsi="Times New Roman" w:cs="Times New Roman"/>
          <w:sz w:val="28"/>
          <w:szCs w:val="28"/>
          <w:lang w:val="en-US"/>
        </w:rPr>
        <w:t>the Caucasus</w:t>
      </w:r>
      <w:r w:rsidR="00FE6F1D">
        <w:rPr>
          <w:rFonts w:ascii="Times New Roman" w:hAnsi="Times New Roman" w:cs="Times New Roman"/>
          <w:sz w:val="28"/>
          <w:szCs w:val="28"/>
          <w:lang w:val="en-US"/>
        </w:rPr>
        <w:t>-</w:t>
      </w:r>
      <w:proofErr w:type="spellStart"/>
      <w:r w:rsidR="00FE6F1D">
        <w:rPr>
          <w:rFonts w:ascii="Times New Roman" w:hAnsi="Times New Roman" w:cs="Times New Roman"/>
          <w:sz w:val="28"/>
          <w:szCs w:val="28"/>
          <w:lang w:val="en-US"/>
        </w:rPr>
        <w:t>Poti</w:t>
      </w:r>
      <w:proofErr w:type="spellEnd"/>
      <w:r w:rsidR="00FE6F1D">
        <w:rPr>
          <w:rFonts w:ascii="Times New Roman" w:hAnsi="Times New Roman" w:cs="Times New Roman"/>
          <w:sz w:val="28"/>
          <w:szCs w:val="28"/>
          <w:lang w:val="en-US"/>
        </w:rPr>
        <w:t xml:space="preserve"> railway-</w:t>
      </w:r>
      <w:r w:rsidR="00FE6F1D" w:rsidRPr="00FE6F1D">
        <w:rPr>
          <w:rFonts w:ascii="Times New Roman" w:hAnsi="Times New Roman" w:cs="Times New Roman"/>
          <w:sz w:val="28"/>
          <w:szCs w:val="28"/>
          <w:lang w:val="en-US"/>
        </w:rPr>
        <w:t>ferry route</w:t>
      </w:r>
      <w:r w:rsidR="00A32893">
        <w:rPr>
          <w:rStyle w:val="a5"/>
          <w:rFonts w:ascii="Times New Roman" w:hAnsi="Times New Roman" w:cs="Times New Roman"/>
          <w:sz w:val="28"/>
          <w:szCs w:val="28"/>
          <w:lang w:val="en-US"/>
        </w:rPr>
        <w:footnoteReference w:id="21"/>
      </w:r>
      <w:r w:rsidR="00FE6F1D">
        <w:rPr>
          <w:rFonts w:ascii="Times New Roman" w:hAnsi="Times New Roman" w:cs="Times New Roman"/>
          <w:sz w:val="28"/>
          <w:szCs w:val="28"/>
          <w:lang w:val="en-US"/>
        </w:rPr>
        <w:t>,</w:t>
      </w:r>
      <w:r w:rsidR="00FE6F1D" w:rsidRPr="00FE6F1D">
        <w:rPr>
          <w:rFonts w:ascii="Times New Roman" w:hAnsi="Times New Roman" w:cs="Times New Roman"/>
          <w:sz w:val="28"/>
          <w:szCs w:val="28"/>
          <w:lang w:val="en-US"/>
        </w:rPr>
        <w:t xml:space="preserve"> opening car-</w:t>
      </w:r>
      <w:r w:rsidR="00FE6F1D">
        <w:rPr>
          <w:rFonts w:ascii="Times New Roman" w:hAnsi="Times New Roman" w:cs="Times New Roman"/>
          <w:sz w:val="28"/>
          <w:szCs w:val="28"/>
          <w:lang w:val="en-US"/>
        </w:rPr>
        <w:t xml:space="preserve">ferry route </w:t>
      </w:r>
      <w:proofErr w:type="spellStart"/>
      <w:r w:rsidR="00FE6F1D">
        <w:rPr>
          <w:rFonts w:ascii="Times New Roman" w:hAnsi="Times New Roman" w:cs="Times New Roman"/>
          <w:sz w:val="28"/>
          <w:szCs w:val="28"/>
          <w:lang w:val="en-US"/>
        </w:rPr>
        <w:t>Poti-</w:t>
      </w:r>
      <w:r w:rsidR="00FE6F1D" w:rsidRPr="00FE6F1D">
        <w:rPr>
          <w:rFonts w:ascii="Times New Roman" w:hAnsi="Times New Roman" w:cs="Times New Roman"/>
          <w:sz w:val="28"/>
          <w:szCs w:val="28"/>
          <w:lang w:val="en-US"/>
        </w:rPr>
        <w:t>Novorossisk</w:t>
      </w:r>
      <w:proofErr w:type="spellEnd"/>
      <w:r w:rsidR="00FE6F1D" w:rsidRPr="00FE6F1D">
        <w:rPr>
          <w:rFonts w:ascii="Times New Roman" w:hAnsi="Times New Roman" w:cs="Times New Roman"/>
          <w:sz w:val="28"/>
          <w:szCs w:val="28"/>
          <w:lang w:val="en-US"/>
        </w:rPr>
        <w:t xml:space="preserve">, </w:t>
      </w:r>
      <w:r w:rsidR="00FE6F1D">
        <w:rPr>
          <w:rFonts w:ascii="Times New Roman" w:hAnsi="Times New Roman" w:cs="Times New Roman"/>
          <w:sz w:val="28"/>
          <w:szCs w:val="28"/>
          <w:lang w:val="en-US"/>
        </w:rPr>
        <w:t xml:space="preserve">and a </w:t>
      </w:r>
      <w:r w:rsidR="00FE6F1D" w:rsidRPr="00FE6F1D">
        <w:rPr>
          <w:rFonts w:ascii="Times New Roman" w:hAnsi="Times New Roman" w:cs="Times New Roman"/>
          <w:sz w:val="28"/>
          <w:szCs w:val="28"/>
          <w:lang w:val="en-US"/>
        </w:rPr>
        <w:t>resumption of railway communication through Abkhazia.</w:t>
      </w:r>
      <w:r w:rsidR="007C5BF2">
        <w:rPr>
          <w:rFonts w:ascii="Times New Roman" w:hAnsi="Times New Roman" w:cs="Times New Roman"/>
          <w:sz w:val="28"/>
          <w:szCs w:val="28"/>
          <w:lang w:val="en-US"/>
        </w:rPr>
        <w:t xml:space="preserve"> The World Bank </w:t>
      </w:r>
      <w:r w:rsidR="007C5BF2" w:rsidRPr="00C70052">
        <w:rPr>
          <w:rFonts w:ascii="Times New Roman" w:hAnsi="Times New Roman" w:cs="Times New Roman"/>
          <w:sz w:val="28"/>
          <w:szCs w:val="28"/>
          <w:lang w:val="en-US"/>
        </w:rPr>
        <w:t>Logistics</w:t>
      </w:r>
      <w:r w:rsidR="007C5BF2" w:rsidRPr="007C5BF2">
        <w:rPr>
          <w:rFonts w:ascii="Times New Roman" w:hAnsi="Times New Roman" w:cs="Times New Roman"/>
          <w:sz w:val="28"/>
          <w:szCs w:val="28"/>
          <w:lang w:val="en-US"/>
        </w:rPr>
        <w:t xml:space="preserve"> </w:t>
      </w:r>
      <w:r w:rsidR="007C5BF2" w:rsidRPr="00C70052">
        <w:rPr>
          <w:rFonts w:ascii="Times New Roman" w:hAnsi="Times New Roman" w:cs="Times New Roman"/>
          <w:sz w:val="28"/>
          <w:szCs w:val="28"/>
          <w:lang w:val="en-US"/>
        </w:rPr>
        <w:t>Performance</w:t>
      </w:r>
      <w:r w:rsidR="007C5BF2" w:rsidRPr="007C5BF2">
        <w:rPr>
          <w:rFonts w:ascii="Times New Roman" w:hAnsi="Times New Roman" w:cs="Times New Roman"/>
          <w:sz w:val="28"/>
          <w:szCs w:val="28"/>
          <w:lang w:val="en-US"/>
        </w:rPr>
        <w:t xml:space="preserve"> </w:t>
      </w:r>
      <w:r w:rsidR="007C5BF2" w:rsidRPr="00C70052">
        <w:rPr>
          <w:rFonts w:ascii="Times New Roman" w:hAnsi="Times New Roman" w:cs="Times New Roman"/>
          <w:sz w:val="28"/>
          <w:szCs w:val="28"/>
          <w:lang w:val="en-US"/>
        </w:rPr>
        <w:t>Index</w:t>
      </w:r>
      <w:r w:rsidR="007C5BF2" w:rsidRPr="007C5BF2">
        <w:rPr>
          <w:rFonts w:ascii="Times New Roman" w:hAnsi="Times New Roman" w:cs="Times New Roman"/>
          <w:sz w:val="28"/>
          <w:szCs w:val="28"/>
          <w:lang w:val="en-US"/>
        </w:rPr>
        <w:t xml:space="preserve"> (</w:t>
      </w:r>
      <w:r w:rsidR="007C5BF2" w:rsidRPr="00C70052">
        <w:rPr>
          <w:rFonts w:ascii="Times New Roman" w:hAnsi="Times New Roman" w:cs="Times New Roman"/>
          <w:sz w:val="28"/>
          <w:szCs w:val="28"/>
          <w:lang w:val="en-US"/>
        </w:rPr>
        <w:t>LPI</w:t>
      </w:r>
      <w:r w:rsidR="007C5BF2" w:rsidRPr="007C5BF2">
        <w:rPr>
          <w:rFonts w:ascii="Times New Roman" w:hAnsi="Times New Roman" w:cs="Times New Roman"/>
          <w:sz w:val="28"/>
          <w:szCs w:val="28"/>
          <w:lang w:val="en-US"/>
        </w:rPr>
        <w:t>)</w:t>
      </w:r>
      <w:r w:rsidR="007C5BF2">
        <w:rPr>
          <w:rFonts w:ascii="Times New Roman" w:hAnsi="Times New Roman" w:cs="Times New Roman"/>
          <w:sz w:val="28"/>
          <w:szCs w:val="28"/>
          <w:lang w:val="en-US"/>
        </w:rPr>
        <w:t xml:space="preserve"> helps to</w:t>
      </w:r>
      <w:r w:rsidR="007C5BF2" w:rsidRPr="007C5BF2">
        <w:rPr>
          <w:rFonts w:ascii="Times New Roman" w:hAnsi="Times New Roman" w:cs="Times New Roman"/>
          <w:sz w:val="28"/>
          <w:szCs w:val="28"/>
          <w:lang w:val="en-US"/>
        </w:rPr>
        <w:t xml:space="preserve"> </w:t>
      </w:r>
      <w:r w:rsidR="007C5BF2">
        <w:rPr>
          <w:rFonts w:ascii="Times New Roman" w:hAnsi="Times New Roman" w:cs="Times New Roman"/>
          <w:sz w:val="28"/>
          <w:szCs w:val="28"/>
          <w:lang w:val="en-US"/>
        </w:rPr>
        <w:t>analyze positions of the EAEU countries with this respect</w:t>
      </w:r>
      <w:r w:rsidR="007C5BF2">
        <w:rPr>
          <w:rStyle w:val="a5"/>
          <w:rFonts w:ascii="Times New Roman" w:hAnsi="Times New Roman" w:cs="Times New Roman"/>
          <w:sz w:val="28"/>
          <w:szCs w:val="28"/>
          <w:lang w:val="en-US"/>
        </w:rPr>
        <w:footnoteReference w:id="22"/>
      </w:r>
      <w:r w:rsidR="007C5BF2">
        <w:rPr>
          <w:rFonts w:ascii="Times New Roman" w:hAnsi="Times New Roman" w:cs="Times New Roman"/>
          <w:sz w:val="28"/>
          <w:szCs w:val="28"/>
          <w:lang w:val="en-US"/>
        </w:rPr>
        <w:t>.</w:t>
      </w:r>
    </w:p>
    <w:p w:rsidR="007C5BF2" w:rsidRDefault="0092240F"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Russian Federation in 2014 got the 90</w:t>
      </w:r>
      <w:r w:rsidRPr="0092240F">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place out of 161, Armenia was 92</w:t>
      </w:r>
      <w:r w:rsidRPr="0092240F">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Belarus 99</w:t>
      </w:r>
      <w:r w:rsidRPr="0092240F">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and Kazakhstan – 88</w:t>
      </w:r>
      <w:r w:rsidRPr="0092240F">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w:t>
      </w:r>
      <w:r w:rsidR="002431DF">
        <w:rPr>
          <w:rFonts w:ascii="Times New Roman" w:hAnsi="Times New Roman" w:cs="Times New Roman"/>
          <w:sz w:val="28"/>
          <w:szCs w:val="28"/>
          <w:lang w:val="en-US"/>
        </w:rPr>
        <w:t xml:space="preserve">Kazakhstan is just one line higher than Armenia in infrastructure rank. Among key problems of Kazakhstan there are insufficient volumes of new roads construction, low quality of motorways, high risks of transportation (including high </w:t>
      </w:r>
      <w:r w:rsidR="002431DF" w:rsidRPr="002431DF">
        <w:rPr>
          <w:rFonts w:ascii="Times New Roman" w:hAnsi="Times New Roman" w:cs="Times New Roman"/>
          <w:sz w:val="28"/>
          <w:szCs w:val="28"/>
          <w:lang w:val="en-US"/>
        </w:rPr>
        <w:t>accident rate</w:t>
      </w:r>
      <w:r w:rsidR="002431DF">
        <w:rPr>
          <w:rFonts w:ascii="Times New Roman" w:hAnsi="Times New Roman" w:cs="Times New Roman"/>
          <w:sz w:val="28"/>
          <w:szCs w:val="28"/>
          <w:lang w:val="en-US"/>
        </w:rPr>
        <w:t xml:space="preserve">), low level of internal roads </w:t>
      </w:r>
      <w:r w:rsidR="002431DF">
        <w:rPr>
          <w:rFonts w:ascii="Times New Roman" w:hAnsi="Times New Roman" w:cs="Times New Roman"/>
          <w:sz w:val="28"/>
          <w:szCs w:val="28"/>
          <w:lang w:val="en-US"/>
        </w:rPr>
        <w:lastRenderedPageBreak/>
        <w:t xml:space="preserve">development (weak infrastructure, </w:t>
      </w:r>
      <w:r w:rsidR="008A189D">
        <w:rPr>
          <w:rFonts w:ascii="Times New Roman" w:hAnsi="Times New Roman" w:cs="Times New Roman"/>
          <w:sz w:val="28"/>
          <w:szCs w:val="28"/>
          <w:lang w:val="en-US"/>
        </w:rPr>
        <w:t xml:space="preserve">there is an absence of </w:t>
      </w:r>
      <w:r w:rsidR="002431DF">
        <w:rPr>
          <w:rFonts w:ascii="Times New Roman" w:hAnsi="Times New Roman" w:cs="Times New Roman"/>
          <w:sz w:val="28"/>
          <w:szCs w:val="28"/>
          <w:lang w:val="en-US"/>
        </w:rPr>
        <w:t xml:space="preserve">roads </w:t>
      </w:r>
      <w:r w:rsidR="008A189D">
        <w:rPr>
          <w:rFonts w:ascii="Times New Roman" w:hAnsi="Times New Roman" w:cs="Times New Roman"/>
          <w:sz w:val="28"/>
          <w:szCs w:val="28"/>
          <w:lang w:val="en-US"/>
        </w:rPr>
        <w:t xml:space="preserve">with hard </w:t>
      </w:r>
      <w:r w:rsidR="008A189D" w:rsidRPr="008A189D">
        <w:rPr>
          <w:rFonts w:ascii="Times New Roman" w:hAnsi="Times New Roman" w:cs="Times New Roman"/>
          <w:sz w:val="28"/>
          <w:szCs w:val="28"/>
          <w:lang w:val="en-US"/>
        </w:rPr>
        <w:t>surface</w:t>
      </w:r>
      <w:r w:rsidR="008A189D">
        <w:rPr>
          <w:rFonts w:ascii="Times New Roman" w:hAnsi="Times New Roman" w:cs="Times New Roman"/>
          <w:sz w:val="28"/>
          <w:szCs w:val="28"/>
          <w:lang w:val="en-US"/>
        </w:rPr>
        <w:t xml:space="preserve"> </w:t>
      </w:r>
      <w:r w:rsidR="002431DF">
        <w:rPr>
          <w:rFonts w:ascii="Times New Roman" w:hAnsi="Times New Roman" w:cs="Times New Roman"/>
          <w:sz w:val="28"/>
          <w:szCs w:val="28"/>
          <w:lang w:val="en-US"/>
        </w:rPr>
        <w:t xml:space="preserve">to </w:t>
      </w:r>
      <w:r w:rsidR="008A189D">
        <w:rPr>
          <w:rFonts w:ascii="Times New Roman" w:hAnsi="Times New Roman" w:cs="Times New Roman"/>
          <w:sz w:val="28"/>
          <w:szCs w:val="28"/>
          <w:lang w:val="en-US"/>
        </w:rPr>
        <w:t xml:space="preserve">800 </w:t>
      </w:r>
      <w:r w:rsidR="008A189D" w:rsidRPr="008A189D">
        <w:rPr>
          <w:rFonts w:ascii="Times New Roman" w:hAnsi="Times New Roman" w:cs="Times New Roman"/>
          <w:sz w:val="28"/>
          <w:szCs w:val="28"/>
          <w:lang w:val="en-US"/>
        </w:rPr>
        <w:t>human settlement</w:t>
      </w:r>
      <w:r w:rsidR="002431DF">
        <w:rPr>
          <w:rFonts w:ascii="Times New Roman" w:hAnsi="Times New Roman" w:cs="Times New Roman"/>
          <w:sz w:val="28"/>
          <w:szCs w:val="28"/>
          <w:lang w:val="en-US"/>
        </w:rPr>
        <w:t>)</w:t>
      </w:r>
      <w:r w:rsidR="008A189D">
        <w:rPr>
          <w:rStyle w:val="a5"/>
          <w:rFonts w:ascii="Times New Roman" w:hAnsi="Times New Roman" w:cs="Times New Roman"/>
          <w:sz w:val="28"/>
          <w:szCs w:val="28"/>
          <w:lang w:val="en-US"/>
        </w:rPr>
        <w:footnoteReference w:id="23"/>
      </w:r>
      <w:r w:rsidR="008A189D">
        <w:rPr>
          <w:rFonts w:ascii="Times New Roman" w:hAnsi="Times New Roman" w:cs="Times New Roman"/>
          <w:sz w:val="28"/>
          <w:szCs w:val="28"/>
          <w:lang w:val="en-US"/>
        </w:rPr>
        <w:t>. Many Kazakh problems are relevant to Russia as well.</w:t>
      </w:r>
    </w:p>
    <w:p w:rsidR="004F3CF2" w:rsidRDefault="004F3CF2" w:rsidP="004F3CF2">
      <w:pPr>
        <w:jc w:val="right"/>
        <w:rPr>
          <w:rFonts w:ascii="Times New Roman" w:hAnsi="Times New Roman" w:cs="Times New Roman"/>
          <w:sz w:val="28"/>
          <w:szCs w:val="28"/>
          <w:lang w:val="en-US"/>
        </w:rPr>
      </w:pPr>
      <w:r>
        <w:rPr>
          <w:rFonts w:ascii="Times New Roman" w:hAnsi="Times New Roman" w:cs="Times New Roman"/>
          <w:sz w:val="28"/>
          <w:szCs w:val="28"/>
          <w:lang w:val="en-US"/>
        </w:rPr>
        <w:t>Table 1</w:t>
      </w:r>
    </w:p>
    <w:p w:rsidR="004F3CF2" w:rsidRDefault="004F3CF2"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Some indicators of the Logistic Performance Index and of EAEU countries</w:t>
      </w:r>
    </w:p>
    <w:tbl>
      <w:tblPr>
        <w:tblStyle w:val="af0"/>
        <w:tblW w:w="0" w:type="auto"/>
        <w:tblLook w:val="04A0"/>
      </w:tblPr>
      <w:tblGrid>
        <w:gridCol w:w="1914"/>
        <w:gridCol w:w="1914"/>
        <w:gridCol w:w="1914"/>
        <w:gridCol w:w="1914"/>
        <w:gridCol w:w="1915"/>
      </w:tblGrid>
      <w:tr w:rsidR="0092240F" w:rsidTr="0092240F">
        <w:tc>
          <w:tcPr>
            <w:tcW w:w="1914" w:type="dxa"/>
          </w:tcPr>
          <w:p w:rsidR="0092240F" w:rsidRDefault="0092240F" w:rsidP="00E51A4E">
            <w:pPr>
              <w:jc w:val="both"/>
              <w:rPr>
                <w:rFonts w:ascii="Times New Roman" w:hAnsi="Times New Roman" w:cs="Times New Roman"/>
                <w:sz w:val="28"/>
                <w:szCs w:val="28"/>
                <w:lang w:val="en-US"/>
              </w:rPr>
            </w:pPr>
          </w:p>
        </w:tc>
        <w:tc>
          <w:tcPr>
            <w:tcW w:w="1914" w:type="dxa"/>
          </w:tcPr>
          <w:p w:rsidR="0092240F" w:rsidRDefault="0092240F"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LPI rank</w:t>
            </w:r>
          </w:p>
        </w:tc>
        <w:tc>
          <w:tcPr>
            <w:tcW w:w="1914" w:type="dxa"/>
          </w:tcPr>
          <w:p w:rsidR="0092240F" w:rsidRDefault="0092240F"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Infrastructure rank</w:t>
            </w:r>
          </w:p>
        </w:tc>
        <w:tc>
          <w:tcPr>
            <w:tcW w:w="1914" w:type="dxa"/>
          </w:tcPr>
          <w:p w:rsidR="0092240F" w:rsidRDefault="0092240F"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Logistics competence</w:t>
            </w:r>
          </w:p>
        </w:tc>
        <w:tc>
          <w:tcPr>
            <w:tcW w:w="1915" w:type="dxa"/>
          </w:tcPr>
          <w:p w:rsidR="0092240F" w:rsidRDefault="0092240F" w:rsidP="004F3CF2">
            <w:pPr>
              <w:jc w:val="center"/>
              <w:rPr>
                <w:rFonts w:ascii="Times New Roman" w:hAnsi="Times New Roman" w:cs="Times New Roman"/>
                <w:sz w:val="28"/>
                <w:szCs w:val="28"/>
                <w:lang w:val="en-US"/>
              </w:rPr>
            </w:pPr>
            <w:r w:rsidRPr="0092240F">
              <w:rPr>
                <w:rFonts w:ascii="Times New Roman" w:hAnsi="Times New Roman" w:cs="Times New Roman"/>
                <w:sz w:val="28"/>
                <w:szCs w:val="28"/>
                <w:lang w:val="en-US"/>
              </w:rPr>
              <w:t>Timeliness</w:t>
            </w:r>
          </w:p>
        </w:tc>
      </w:tr>
      <w:tr w:rsidR="0092240F" w:rsidTr="0092240F">
        <w:tc>
          <w:tcPr>
            <w:tcW w:w="1914" w:type="dxa"/>
          </w:tcPr>
          <w:p w:rsidR="0092240F" w:rsidRDefault="0092240F"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Russia</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90</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77</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80</w:t>
            </w:r>
          </w:p>
        </w:tc>
        <w:tc>
          <w:tcPr>
            <w:tcW w:w="1915"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84</w:t>
            </w:r>
          </w:p>
        </w:tc>
      </w:tr>
      <w:tr w:rsidR="0092240F" w:rsidTr="0092240F">
        <w:tc>
          <w:tcPr>
            <w:tcW w:w="1914" w:type="dxa"/>
          </w:tcPr>
          <w:p w:rsidR="0092240F" w:rsidRDefault="0092240F"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Belarus</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99</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86</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116</w:t>
            </w:r>
          </w:p>
        </w:tc>
        <w:tc>
          <w:tcPr>
            <w:tcW w:w="1915"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98</w:t>
            </w:r>
          </w:p>
        </w:tc>
      </w:tr>
      <w:tr w:rsidR="0092240F" w:rsidTr="0092240F">
        <w:tc>
          <w:tcPr>
            <w:tcW w:w="1914" w:type="dxa"/>
          </w:tcPr>
          <w:p w:rsidR="0092240F" w:rsidRDefault="0092240F"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Kazakhstan</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88</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106</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83</w:t>
            </w:r>
          </w:p>
        </w:tc>
        <w:tc>
          <w:tcPr>
            <w:tcW w:w="1915"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69</w:t>
            </w:r>
          </w:p>
        </w:tc>
      </w:tr>
      <w:tr w:rsidR="0092240F" w:rsidTr="0092240F">
        <w:tc>
          <w:tcPr>
            <w:tcW w:w="1914" w:type="dxa"/>
          </w:tcPr>
          <w:p w:rsidR="0092240F" w:rsidRDefault="0092240F"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Armenia</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92</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107</w:t>
            </w:r>
          </w:p>
        </w:tc>
        <w:tc>
          <w:tcPr>
            <w:tcW w:w="1914"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79</w:t>
            </w:r>
          </w:p>
        </w:tc>
        <w:tc>
          <w:tcPr>
            <w:tcW w:w="1915" w:type="dxa"/>
          </w:tcPr>
          <w:p w:rsidR="0092240F" w:rsidRDefault="004F3CF2" w:rsidP="004F3CF2">
            <w:pPr>
              <w:jc w:val="center"/>
              <w:rPr>
                <w:rFonts w:ascii="Times New Roman" w:hAnsi="Times New Roman" w:cs="Times New Roman"/>
                <w:sz w:val="28"/>
                <w:szCs w:val="28"/>
                <w:lang w:val="en-US"/>
              </w:rPr>
            </w:pPr>
            <w:r>
              <w:rPr>
                <w:rFonts w:ascii="Times New Roman" w:hAnsi="Times New Roman" w:cs="Times New Roman"/>
                <w:sz w:val="28"/>
                <w:szCs w:val="28"/>
                <w:lang w:val="en-US"/>
              </w:rPr>
              <w:t>93</w:t>
            </w:r>
          </w:p>
        </w:tc>
      </w:tr>
    </w:tbl>
    <w:p w:rsidR="00C3103F" w:rsidRPr="007C5BF2" w:rsidRDefault="00C3103F" w:rsidP="00C3103F">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Sourse</w:t>
      </w:r>
      <w:proofErr w:type="spellEnd"/>
      <w:r>
        <w:rPr>
          <w:rFonts w:ascii="Times New Roman" w:hAnsi="Times New Roman" w:cs="Times New Roman"/>
          <w:sz w:val="28"/>
          <w:szCs w:val="28"/>
          <w:lang w:val="en-US"/>
        </w:rPr>
        <w:t xml:space="preserve">: </w:t>
      </w:r>
      <w:hyperlink r:id="rId14" w:history="1">
        <w:r w:rsidRPr="00C70052">
          <w:rPr>
            <w:rStyle w:val="a8"/>
            <w:rFonts w:ascii="Times New Roman" w:hAnsi="Times New Roman" w:cs="Times New Roman"/>
            <w:sz w:val="28"/>
            <w:szCs w:val="28"/>
            <w:lang w:val="en-US"/>
          </w:rPr>
          <w:t>http</w:t>
        </w:r>
        <w:r w:rsidRPr="007C5BF2">
          <w:rPr>
            <w:rStyle w:val="a8"/>
            <w:rFonts w:ascii="Times New Roman" w:hAnsi="Times New Roman" w:cs="Times New Roman"/>
            <w:sz w:val="28"/>
            <w:szCs w:val="28"/>
            <w:lang w:val="en-US"/>
          </w:rPr>
          <w:t>://</w:t>
        </w:r>
        <w:r w:rsidRPr="00C70052">
          <w:rPr>
            <w:rStyle w:val="a8"/>
            <w:rFonts w:ascii="Times New Roman" w:hAnsi="Times New Roman" w:cs="Times New Roman"/>
            <w:sz w:val="28"/>
            <w:szCs w:val="28"/>
            <w:lang w:val="en-US"/>
          </w:rPr>
          <w:t>lpi</w:t>
        </w:r>
        <w:r w:rsidRPr="007C5BF2">
          <w:rPr>
            <w:rStyle w:val="a8"/>
            <w:rFonts w:ascii="Times New Roman" w:hAnsi="Times New Roman" w:cs="Times New Roman"/>
            <w:sz w:val="28"/>
            <w:szCs w:val="28"/>
            <w:lang w:val="en-US"/>
          </w:rPr>
          <w:t>.</w:t>
        </w:r>
        <w:r w:rsidRPr="00C70052">
          <w:rPr>
            <w:rStyle w:val="a8"/>
            <w:rFonts w:ascii="Times New Roman" w:hAnsi="Times New Roman" w:cs="Times New Roman"/>
            <w:sz w:val="28"/>
            <w:szCs w:val="28"/>
            <w:lang w:val="en-US"/>
          </w:rPr>
          <w:t>worldbank</w:t>
        </w:r>
        <w:r w:rsidRPr="007C5BF2">
          <w:rPr>
            <w:rStyle w:val="a8"/>
            <w:rFonts w:ascii="Times New Roman" w:hAnsi="Times New Roman" w:cs="Times New Roman"/>
            <w:sz w:val="28"/>
            <w:szCs w:val="28"/>
            <w:lang w:val="en-US"/>
          </w:rPr>
          <w:t>.</w:t>
        </w:r>
        <w:r w:rsidRPr="00C70052">
          <w:rPr>
            <w:rStyle w:val="a8"/>
            <w:rFonts w:ascii="Times New Roman" w:hAnsi="Times New Roman" w:cs="Times New Roman"/>
            <w:sz w:val="28"/>
            <w:szCs w:val="28"/>
            <w:lang w:val="en-US"/>
          </w:rPr>
          <w:t>org</w:t>
        </w:r>
        <w:r w:rsidRPr="007C5BF2">
          <w:rPr>
            <w:rStyle w:val="a8"/>
            <w:rFonts w:ascii="Times New Roman" w:hAnsi="Times New Roman" w:cs="Times New Roman"/>
            <w:sz w:val="28"/>
            <w:szCs w:val="28"/>
            <w:lang w:val="en-US"/>
          </w:rPr>
          <w:t>/</w:t>
        </w:r>
        <w:r w:rsidRPr="00C70052">
          <w:rPr>
            <w:rStyle w:val="a8"/>
            <w:rFonts w:ascii="Times New Roman" w:hAnsi="Times New Roman" w:cs="Times New Roman"/>
            <w:sz w:val="28"/>
            <w:szCs w:val="28"/>
            <w:lang w:val="en-US"/>
          </w:rPr>
          <w:t>international</w:t>
        </w:r>
        <w:r w:rsidRPr="007C5BF2">
          <w:rPr>
            <w:rStyle w:val="a8"/>
            <w:rFonts w:ascii="Times New Roman" w:hAnsi="Times New Roman" w:cs="Times New Roman"/>
            <w:sz w:val="28"/>
            <w:szCs w:val="28"/>
            <w:lang w:val="en-US"/>
          </w:rPr>
          <w:t>/</w:t>
        </w:r>
        <w:r w:rsidRPr="00C70052">
          <w:rPr>
            <w:rStyle w:val="a8"/>
            <w:rFonts w:ascii="Times New Roman" w:hAnsi="Times New Roman" w:cs="Times New Roman"/>
            <w:sz w:val="28"/>
            <w:szCs w:val="28"/>
            <w:lang w:val="en-US"/>
          </w:rPr>
          <w:t>global</w:t>
        </w:r>
      </w:hyperlink>
      <w:r w:rsidRPr="007C5BF2">
        <w:rPr>
          <w:rFonts w:ascii="Times New Roman" w:hAnsi="Times New Roman" w:cs="Times New Roman"/>
          <w:sz w:val="28"/>
          <w:szCs w:val="28"/>
          <w:lang w:val="en-US"/>
        </w:rPr>
        <w:t xml:space="preserve"> </w:t>
      </w:r>
    </w:p>
    <w:p w:rsidR="0092240F" w:rsidRDefault="0092240F" w:rsidP="00E51A4E">
      <w:pPr>
        <w:jc w:val="both"/>
        <w:rPr>
          <w:rFonts w:ascii="Times New Roman" w:hAnsi="Times New Roman" w:cs="Times New Roman"/>
          <w:sz w:val="28"/>
          <w:szCs w:val="28"/>
          <w:lang w:val="en-US"/>
        </w:rPr>
      </w:pPr>
    </w:p>
    <w:p w:rsidR="007C5BF2" w:rsidRDefault="007C5BF2" w:rsidP="007C5BF2">
      <w:pPr>
        <w:jc w:val="both"/>
        <w:rPr>
          <w:rFonts w:ascii="Times New Roman" w:hAnsi="Times New Roman" w:cs="Times New Roman"/>
          <w:sz w:val="28"/>
          <w:szCs w:val="28"/>
          <w:lang w:val="en-US"/>
        </w:rPr>
      </w:pPr>
      <w:r w:rsidRPr="007C5BF2">
        <w:rPr>
          <w:rFonts w:ascii="Times New Roman" w:hAnsi="Times New Roman" w:cs="Times New Roman"/>
          <w:sz w:val="28"/>
          <w:szCs w:val="28"/>
          <w:lang w:val="en-US"/>
        </w:rPr>
        <w:t>World Economic Forum’s Enabling Trade Index (ETI) captures four major aspects relevant to the operation of supply chains:</w:t>
      </w:r>
      <w:r w:rsidR="004D6F82">
        <w:rPr>
          <w:rFonts w:ascii="Times New Roman" w:hAnsi="Times New Roman" w:cs="Times New Roman"/>
          <w:sz w:val="28"/>
          <w:szCs w:val="28"/>
          <w:lang w:val="en-US"/>
        </w:rPr>
        <w:t xml:space="preserve"> </w:t>
      </w:r>
      <w:proofErr w:type="spellStart"/>
      <w:r w:rsidRPr="007C5BF2">
        <w:rPr>
          <w:rFonts w:ascii="Times New Roman" w:hAnsi="Times New Roman" w:cs="Times New Roman"/>
          <w:sz w:val="28"/>
          <w:szCs w:val="28"/>
          <w:lang w:val="en-US"/>
        </w:rPr>
        <w:t>i</w:t>
      </w:r>
      <w:proofErr w:type="spellEnd"/>
      <w:r w:rsidRPr="007C5BF2">
        <w:rPr>
          <w:rFonts w:ascii="Times New Roman" w:hAnsi="Times New Roman" w:cs="Times New Roman"/>
          <w:sz w:val="28"/>
          <w:szCs w:val="28"/>
          <w:lang w:val="en-US"/>
        </w:rPr>
        <w:t>) market access; ii) border administration; iii) transport and telecommunications infrastructure; and iv) business environment, and ranks 13</w:t>
      </w:r>
      <w:r w:rsidR="004D6F82">
        <w:rPr>
          <w:rFonts w:ascii="Times New Roman" w:hAnsi="Times New Roman" w:cs="Times New Roman"/>
          <w:sz w:val="28"/>
          <w:szCs w:val="28"/>
          <w:lang w:val="en-US"/>
        </w:rPr>
        <w:t>8</w:t>
      </w:r>
      <w:r w:rsidRPr="007C5BF2">
        <w:rPr>
          <w:rFonts w:ascii="Times New Roman" w:hAnsi="Times New Roman" w:cs="Times New Roman"/>
          <w:sz w:val="28"/>
          <w:szCs w:val="28"/>
          <w:lang w:val="en-US"/>
        </w:rPr>
        <w:t xml:space="preserve"> countries according to their aggregate performance on each, as well as on all four aspects collectively</w:t>
      </w:r>
      <w:r w:rsidR="004D6F82">
        <w:rPr>
          <w:rStyle w:val="a5"/>
          <w:rFonts w:ascii="Times New Roman" w:hAnsi="Times New Roman" w:cs="Times New Roman"/>
          <w:sz w:val="28"/>
          <w:szCs w:val="28"/>
          <w:lang w:val="en-US"/>
        </w:rPr>
        <w:footnoteReference w:id="24"/>
      </w:r>
      <w:r w:rsidR="004D6F82">
        <w:rPr>
          <w:rFonts w:ascii="Times New Roman" w:hAnsi="Times New Roman" w:cs="Times New Roman"/>
          <w:sz w:val="28"/>
          <w:szCs w:val="28"/>
          <w:lang w:val="en-US"/>
        </w:rPr>
        <w:t>. It does not calculate the index for Belarus. Sub-indices for other EAEU members are presented in table 2.</w:t>
      </w:r>
    </w:p>
    <w:p w:rsidR="004D6F82" w:rsidRDefault="00504F22" w:rsidP="007C5BF2">
      <w:pPr>
        <w:jc w:val="both"/>
        <w:rPr>
          <w:rFonts w:ascii="Times New Roman" w:hAnsi="Times New Roman" w:cs="Times New Roman"/>
          <w:sz w:val="28"/>
          <w:szCs w:val="28"/>
          <w:lang w:val="en-US"/>
        </w:rPr>
      </w:pPr>
      <w:r>
        <w:rPr>
          <w:rFonts w:ascii="Times New Roman" w:hAnsi="Times New Roman" w:cs="Times New Roman"/>
          <w:sz w:val="28"/>
          <w:szCs w:val="28"/>
          <w:lang w:val="en-US"/>
        </w:rPr>
        <w:t>Table 2</w:t>
      </w:r>
    </w:p>
    <w:p w:rsidR="00504F22" w:rsidRPr="00504F22" w:rsidRDefault="00504F22" w:rsidP="007C5BF2">
      <w:pPr>
        <w:jc w:val="both"/>
        <w:rPr>
          <w:rFonts w:ascii="Times New Roman" w:hAnsi="Times New Roman" w:cs="Times New Roman"/>
          <w:sz w:val="28"/>
          <w:szCs w:val="28"/>
          <w:lang w:val="en-US"/>
        </w:rPr>
      </w:pPr>
      <w:r w:rsidRPr="00504F22">
        <w:rPr>
          <w:rFonts w:ascii="Times New Roman" w:hAnsi="Times New Roman" w:cs="Times New Roman"/>
          <w:sz w:val="28"/>
          <w:szCs w:val="28"/>
          <w:lang w:val="en-US"/>
        </w:rPr>
        <w:t xml:space="preserve">Enabling Trade Index 2014 and </w:t>
      </w:r>
      <w:r>
        <w:rPr>
          <w:rFonts w:ascii="Times New Roman" w:hAnsi="Times New Roman" w:cs="Times New Roman"/>
          <w:sz w:val="28"/>
          <w:szCs w:val="28"/>
          <w:lang w:val="en-US"/>
        </w:rPr>
        <w:t>sub-indices</w:t>
      </w:r>
    </w:p>
    <w:tbl>
      <w:tblPr>
        <w:tblStyle w:val="af0"/>
        <w:tblW w:w="0" w:type="auto"/>
        <w:tblLayout w:type="fixed"/>
        <w:tblLook w:val="04A0"/>
      </w:tblPr>
      <w:tblGrid>
        <w:gridCol w:w="5211"/>
        <w:gridCol w:w="1453"/>
        <w:gridCol w:w="1524"/>
        <w:gridCol w:w="1383"/>
      </w:tblGrid>
      <w:tr w:rsidR="00504F22" w:rsidTr="00504F22">
        <w:tc>
          <w:tcPr>
            <w:tcW w:w="5211" w:type="dxa"/>
          </w:tcPr>
          <w:p w:rsidR="00504F22" w:rsidRDefault="00504F22" w:rsidP="007C5BF2">
            <w:pPr>
              <w:jc w:val="both"/>
              <w:rPr>
                <w:rFonts w:ascii="Times New Roman" w:hAnsi="Times New Roman" w:cs="Times New Roman"/>
                <w:sz w:val="28"/>
                <w:szCs w:val="28"/>
                <w:lang w:val="en-US"/>
              </w:rPr>
            </w:pPr>
          </w:p>
        </w:tc>
        <w:tc>
          <w:tcPr>
            <w:tcW w:w="1453" w:type="dxa"/>
          </w:tcPr>
          <w:p w:rsidR="00504F22" w:rsidRDefault="00504F22"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Russia</w:t>
            </w:r>
          </w:p>
        </w:tc>
        <w:tc>
          <w:tcPr>
            <w:tcW w:w="1524" w:type="dxa"/>
          </w:tcPr>
          <w:p w:rsidR="00504F22" w:rsidRDefault="00504F22"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Kazakhstan</w:t>
            </w:r>
          </w:p>
        </w:tc>
        <w:tc>
          <w:tcPr>
            <w:tcW w:w="1383" w:type="dxa"/>
          </w:tcPr>
          <w:p w:rsidR="00504F22" w:rsidRDefault="00504F22"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Armenia</w:t>
            </w:r>
          </w:p>
        </w:tc>
      </w:tr>
      <w:tr w:rsidR="00504F22" w:rsidRPr="00504F22" w:rsidTr="00504F22">
        <w:tc>
          <w:tcPr>
            <w:tcW w:w="5211" w:type="dxa"/>
          </w:tcPr>
          <w:p w:rsidR="00504F22" w:rsidRPr="00504F22" w:rsidRDefault="00504F22" w:rsidP="007C5BF2">
            <w:pPr>
              <w:jc w:val="both"/>
              <w:rPr>
                <w:rFonts w:ascii="Times New Roman" w:hAnsi="Times New Roman" w:cs="Times New Roman"/>
                <w:b/>
                <w:sz w:val="28"/>
                <w:szCs w:val="28"/>
                <w:lang w:val="en-US"/>
              </w:rPr>
            </w:pPr>
            <w:r w:rsidRPr="00504F22">
              <w:rPr>
                <w:rFonts w:ascii="Times New Roman" w:hAnsi="Times New Roman" w:cs="Times New Roman"/>
                <w:b/>
                <w:sz w:val="28"/>
                <w:szCs w:val="28"/>
                <w:lang w:val="en-US"/>
              </w:rPr>
              <w:t>ETI 2014</w:t>
            </w:r>
          </w:p>
        </w:tc>
        <w:tc>
          <w:tcPr>
            <w:tcW w:w="145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105</w:t>
            </w:r>
          </w:p>
        </w:tc>
        <w:tc>
          <w:tcPr>
            <w:tcW w:w="1524" w:type="dxa"/>
          </w:tcPr>
          <w:p w:rsidR="00504F22" w:rsidRPr="00504F22" w:rsidRDefault="000014BD"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94</w:t>
            </w:r>
          </w:p>
        </w:tc>
        <w:tc>
          <w:tcPr>
            <w:tcW w:w="138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53</w:t>
            </w:r>
          </w:p>
        </w:tc>
      </w:tr>
      <w:tr w:rsidR="00504F22" w:rsidRPr="00504F22" w:rsidTr="00504F22">
        <w:tc>
          <w:tcPr>
            <w:tcW w:w="5211" w:type="dxa"/>
          </w:tcPr>
          <w:p w:rsidR="00504F22" w:rsidRPr="00504F22" w:rsidRDefault="00504F22" w:rsidP="007C5BF2">
            <w:pPr>
              <w:jc w:val="both"/>
              <w:rPr>
                <w:rFonts w:ascii="Times New Roman" w:hAnsi="Times New Roman" w:cs="Times New Roman"/>
                <w:b/>
                <w:sz w:val="28"/>
                <w:szCs w:val="28"/>
                <w:lang w:val="en-US"/>
              </w:rPr>
            </w:pPr>
            <w:r w:rsidRPr="00504F22">
              <w:rPr>
                <w:rFonts w:ascii="Times New Roman" w:hAnsi="Times New Roman" w:cs="Times New Roman"/>
                <w:b/>
                <w:sz w:val="28"/>
                <w:szCs w:val="28"/>
                <w:lang w:val="en-US"/>
              </w:rPr>
              <w:t>Market access</w:t>
            </w:r>
          </w:p>
        </w:tc>
        <w:tc>
          <w:tcPr>
            <w:tcW w:w="145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132</w:t>
            </w:r>
          </w:p>
        </w:tc>
        <w:tc>
          <w:tcPr>
            <w:tcW w:w="1524" w:type="dxa"/>
          </w:tcPr>
          <w:p w:rsidR="00504F22" w:rsidRPr="00504F22" w:rsidRDefault="000014BD"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108</w:t>
            </w:r>
          </w:p>
        </w:tc>
        <w:tc>
          <w:tcPr>
            <w:tcW w:w="138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504F22" w:rsidTr="00504F22">
        <w:tc>
          <w:tcPr>
            <w:tcW w:w="5211" w:type="dxa"/>
          </w:tcPr>
          <w:p w:rsidR="00504F22" w:rsidRDefault="00504F22" w:rsidP="007C5BF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04F22">
              <w:rPr>
                <w:rFonts w:ascii="Times New Roman" w:hAnsi="Times New Roman" w:cs="Times New Roman"/>
                <w:sz w:val="28"/>
                <w:szCs w:val="28"/>
                <w:lang w:val="en-US"/>
              </w:rPr>
              <w:t>Domestic market access</w:t>
            </w:r>
          </w:p>
        </w:tc>
        <w:tc>
          <w:tcPr>
            <w:tcW w:w="145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127</w:t>
            </w:r>
          </w:p>
        </w:tc>
        <w:tc>
          <w:tcPr>
            <w:tcW w:w="1524" w:type="dxa"/>
          </w:tcPr>
          <w:p w:rsidR="00504F22" w:rsidRDefault="000014BD"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112</w:t>
            </w:r>
          </w:p>
        </w:tc>
        <w:tc>
          <w:tcPr>
            <w:tcW w:w="138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r>
      <w:tr w:rsidR="00504F22" w:rsidTr="00504F22">
        <w:tc>
          <w:tcPr>
            <w:tcW w:w="5211" w:type="dxa"/>
          </w:tcPr>
          <w:p w:rsidR="00504F22" w:rsidRDefault="00504F22" w:rsidP="007C5BF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04F22">
              <w:rPr>
                <w:rFonts w:ascii="Times New Roman" w:hAnsi="Times New Roman" w:cs="Times New Roman"/>
                <w:sz w:val="28"/>
                <w:szCs w:val="28"/>
                <w:lang w:val="en-US"/>
              </w:rPr>
              <w:t>Foreign market access</w:t>
            </w:r>
          </w:p>
        </w:tc>
        <w:tc>
          <w:tcPr>
            <w:tcW w:w="145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84</w:t>
            </w:r>
          </w:p>
        </w:tc>
        <w:tc>
          <w:tcPr>
            <w:tcW w:w="1524"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59</w:t>
            </w:r>
          </w:p>
        </w:tc>
        <w:tc>
          <w:tcPr>
            <w:tcW w:w="138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34</w:t>
            </w:r>
          </w:p>
        </w:tc>
      </w:tr>
      <w:tr w:rsidR="00504F22" w:rsidRPr="00504F22" w:rsidTr="00504F22">
        <w:tc>
          <w:tcPr>
            <w:tcW w:w="5211" w:type="dxa"/>
          </w:tcPr>
          <w:p w:rsidR="00504F22" w:rsidRPr="00504F22" w:rsidRDefault="00504F22" w:rsidP="007C5BF2">
            <w:pPr>
              <w:jc w:val="both"/>
              <w:rPr>
                <w:rFonts w:ascii="Times New Roman" w:hAnsi="Times New Roman" w:cs="Times New Roman"/>
                <w:b/>
                <w:sz w:val="28"/>
                <w:szCs w:val="28"/>
                <w:lang w:val="en-US"/>
              </w:rPr>
            </w:pPr>
            <w:r w:rsidRPr="00504F22">
              <w:rPr>
                <w:rFonts w:ascii="Times New Roman" w:hAnsi="Times New Roman" w:cs="Times New Roman"/>
                <w:b/>
                <w:sz w:val="28"/>
                <w:szCs w:val="28"/>
                <w:lang w:val="en-US"/>
              </w:rPr>
              <w:t>Border administration</w:t>
            </w:r>
          </w:p>
        </w:tc>
        <w:tc>
          <w:tcPr>
            <w:tcW w:w="145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103</w:t>
            </w:r>
          </w:p>
        </w:tc>
        <w:tc>
          <w:tcPr>
            <w:tcW w:w="1524"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127</w:t>
            </w:r>
          </w:p>
        </w:tc>
        <w:tc>
          <w:tcPr>
            <w:tcW w:w="138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73</w:t>
            </w:r>
          </w:p>
        </w:tc>
      </w:tr>
      <w:tr w:rsidR="00504F22" w:rsidRPr="00504F22" w:rsidTr="00504F22">
        <w:tc>
          <w:tcPr>
            <w:tcW w:w="5211" w:type="dxa"/>
          </w:tcPr>
          <w:p w:rsidR="00504F22" w:rsidRPr="00504F22" w:rsidRDefault="00504F22" w:rsidP="007C5BF2">
            <w:pPr>
              <w:jc w:val="both"/>
              <w:rPr>
                <w:rFonts w:ascii="Times New Roman" w:hAnsi="Times New Roman" w:cs="Times New Roman"/>
                <w:b/>
                <w:sz w:val="28"/>
                <w:szCs w:val="28"/>
                <w:lang w:val="en-US"/>
              </w:rPr>
            </w:pPr>
            <w:r w:rsidRPr="00504F22">
              <w:rPr>
                <w:rFonts w:ascii="Times New Roman" w:hAnsi="Times New Roman" w:cs="Times New Roman"/>
                <w:b/>
                <w:sz w:val="28"/>
                <w:szCs w:val="28"/>
                <w:lang w:val="en-US"/>
              </w:rPr>
              <w:t>Infrastructure</w:t>
            </w:r>
          </w:p>
        </w:tc>
        <w:tc>
          <w:tcPr>
            <w:tcW w:w="145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52</w:t>
            </w:r>
          </w:p>
        </w:tc>
        <w:tc>
          <w:tcPr>
            <w:tcW w:w="1524"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53</w:t>
            </w:r>
          </w:p>
        </w:tc>
        <w:tc>
          <w:tcPr>
            <w:tcW w:w="1383" w:type="dxa"/>
          </w:tcPr>
          <w:p w:rsidR="00504F22" w:rsidRP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73</w:t>
            </w:r>
          </w:p>
        </w:tc>
      </w:tr>
      <w:tr w:rsidR="00504F22" w:rsidTr="00504F22">
        <w:tc>
          <w:tcPr>
            <w:tcW w:w="5211" w:type="dxa"/>
          </w:tcPr>
          <w:p w:rsidR="00504F22" w:rsidRDefault="00504F22" w:rsidP="00504F22">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04F22">
              <w:rPr>
                <w:rFonts w:ascii="Times New Roman" w:hAnsi="Times New Roman" w:cs="Times New Roman"/>
                <w:sz w:val="28"/>
                <w:szCs w:val="28"/>
                <w:lang w:val="en-US"/>
              </w:rPr>
              <w:t>Availability &amp; quality of transport infrastructure</w:t>
            </w:r>
          </w:p>
        </w:tc>
        <w:tc>
          <w:tcPr>
            <w:tcW w:w="145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1524"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61</w:t>
            </w:r>
          </w:p>
        </w:tc>
        <w:tc>
          <w:tcPr>
            <w:tcW w:w="138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69</w:t>
            </w:r>
          </w:p>
        </w:tc>
      </w:tr>
      <w:tr w:rsidR="00504F22" w:rsidTr="00504F22">
        <w:tc>
          <w:tcPr>
            <w:tcW w:w="5211" w:type="dxa"/>
          </w:tcPr>
          <w:p w:rsidR="00504F22" w:rsidRPr="00504F22" w:rsidRDefault="00504F22" w:rsidP="00504F22">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04F22">
              <w:rPr>
                <w:rFonts w:ascii="Times New Roman" w:hAnsi="Times New Roman" w:cs="Times New Roman"/>
                <w:sz w:val="28"/>
                <w:szCs w:val="28"/>
                <w:lang w:val="en-US"/>
              </w:rPr>
              <w:t>Availability &amp; quality of transport services</w:t>
            </w:r>
          </w:p>
        </w:tc>
        <w:tc>
          <w:tcPr>
            <w:tcW w:w="145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82</w:t>
            </w:r>
          </w:p>
        </w:tc>
        <w:tc>
          <w:tcPr>
            <w:tcW w:w="1524"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65</w:t>
            </w:r>
          </w:p>
        </w:tc>
        <w:tc>
          <w:tcPr>
            <w:tcW w:w="138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76</w:t>
            </w:r>
          </w:p>
        </w:tc>
      </w:tr>
      <w:tr w:rsidR="00504F22" w:rsidTr="00504F22">
        <w:tc>
          <w:tcPr>
            <w:tcW w:w="5211" w:type="dxa"/>
          </w:tcPr>
          <w:p w:rsidR="00504F22" w:rsidRPr="00504F22" w:rsidRDefault="00504F22" w:rsidP="007C5BF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04F22">
              <w:rPr>
                <w:rFonts w:ascii="Times New Roman" w:hAnsi="Times New Roman" w:cs="Times New Roman"/>
                <w:sz w:val="28"/>
                <w:szCs w:val="28"/>
                <w:lang w:val="en-US"/>
              </w:rPr>
              <w:t>Availability &amp; use of ICTs</w:t>
            </w:r>
          </w:p>
        </w:tc>
        <w:tc>
          <w:tcPr>
            <w:tcW w:w="145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44</w:t>
            </w:r>
          </w:p>
        </w:tc>
        <w:tc>
          <w:tcPr>
            <w:tcW w:w="1524"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138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72</w:t>
            </w:r>
          </w:p>
        </w:tc>
      </w:tr>
      <w:tr w:rsidR="00504F22" w:rsidTr="00504F22">
        <w:tc>
          <w:tcPr>
            <w:tcW w:w="5211" w:type="dxa"/>
          </w:tcPr>
          <w:p w:rsidR="00504F22" w:rsidRPr="00504F22" w:rsidRDefault="00504F22" w:rsidP="007C5BF2">
            <w:pPr>
              <w:jc w:val="both"/>
              <w:rPr>
                <w:rFonts w:ascii="Times New Roman" w:hAnsi="Times New Roman" w:cs="Times New Roman"/>
                <w:b/>
                <w:sz w:val="28"/>
                <w:szCs w:val="28"/>
                <w:lang w:val="en-US"/>
              </w:rPr>
            </w:pPr>
            <w:r w:rsidRPr="00504F22">
              <w:rPr>
                <w:rFonts w:ascii="Times New Roman" w:hAnsi="Times New Roman" w:cs="Times New Roman"/>
                <w:b/>
                <w:sz w:val="28"/>
                <w:szCs w:val="28"/>
                <w:lang w:val="en-US"/>
              </w:rPr>
              <w:t>Operating environment</w:t>
            </w:r>
          </w:p>
        </w:tc>
        <w:tc>
          <w:tcPr>
            <w:tcW w:w="145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119</w:t>
            </w:r>
          </w:p>
        </w:tc>
        <w:tc>
          <w:tcPr>
            <w:tcW w:w="1524"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67</w:t>
            </w:r>
          </w:p>
        </w:tc>
        <w:tc>
          <w:tcPr>
            <w:tcW w:w="1383" w:type="dxa"/>
          </w:tcPr>
          <w:p w:rsidR="00504F22" w:rsidRDefault="00FB56A0" w:rsidP="00504F22">
            <w:pPr>
              <w:jc w:val="center"/>
              <w:rPr>
                <w:rFonts w:ascii="Times New Roman" w:hAnsi="Times New Roman" w:cs="Times New Roman"/>
                <w:sz w:val="28"/>
                <w:szCs w:val="28"/>
                <w:lang w:val="en-US"/>
              </w:rPr>
            </w:pPr>
            <w:r>
              <w:rPr>
                <w:rFonts w:ascii="Times New Roman" w:hAnsi="Times New Roman" w:cs="Times New Roman"/>
                <w:sz w:val="28"/>
                <w:szCs w:val="28"/>
                <w:lang w:val="en-US"/>
              </w:rPr>
              <w:t>47</w:t>
            </w:r>
          </w:p>
        </w:tc>
      </w:tr>
    </w:tbl>
    <w:p w:rsidR="00504F22" w:rsidRPr="00FB56A0" w:rsidRDefault="00FB56A0" w:rsidP="00FB56A0">
      <w:pPr>
        <w:ind w:left="1560" w:hanging="156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Source:</w:t>
      </w:r>
      <w:r>
        <w:rPr>
          <w:rFonts w:ascii="Times New Roman" w:hAnsi="Times New Roman" w:cs="Times New Roman"/>
          <w:sz w:val="28"/>
          <w:szCs w:val="28"/>
          <w:lang w:val="en-US"/>
        </w:rPr>
        <w:tab/>
      </w:r>
      <w:r w:rsidRPr="00FB56A0">
        <w:rPr>
          <w:rFonts w:ascii="Times New Roman" w:hAnsi="Times New Roman" w:cs="Times New Roman"/>
          <w:sz w:val="28"/>
          <w:szCs w:val="28"/>
          <w:lang w:val="en-US"/>
        </w:rPr>
        <w:t>The Global Enabling</w:t>
      </w:r>
      <w:r>
        <w:rPr>
          <w:rFonts w:ascii="Times New Roman" w:hAnsi="Times New Roman" w:cs="Times New Roman"/>
          <w:sz w:val="28"/>
          <w:szCs w:val="28"/>
          <w:lang w:val="en-US"/>
        </w:rPr>
        <w:t xml:space="preserve"> </w:t>
      </w:r>
      <w:r w:rsidRPr="00FB56A0">
        <w:rPr>
          <w:rFonts w:ascii="Times New Roman" w:hAnsi="Times New Roman" w:cs="Times New Roman"/>
          <w:sz w:val="28"/>
          <w:szCs w:val="28"/>
          <w:lang w:val="en-US"/>
        </w:rPr>
        <w:t>Trade Report 2014</w:t>
      </w:r>
      <w:r>
        <w:rPr>
          <w:rFonts w:ascii="Times New Roman" w:hAnsi="Times New Roman" w:cs="Times New Roman"/>
          <w:sz w:val="28"/>
          <w:szCs w:val="28"/>
          <w:lang w:val="en-US"/>
        </w:rPr>
        <w:t xml:space="preserve">. Ed by. </w:t>
      </w:r>
      <w:r w:rsidRPr="00FB56A0">
        <w:rPr>
          <w:rFonts w:ascii="Times New Roman" w:hAnsi="Times New Roman" w:cs="Times New Roman"/>
          <w:sz w:val="28"/>
          <w:szCs w:val="28"/>
          <w:lang w:val="en-US"/>
        </w:rPr>
        <w:t>M</w:t>
      </w:r>
      <w:r>
        <w:rPr>
          <w:rFonts w:ascii="Times New Roman" w:hAnsi="Times New Roman" w:cs="Times New Roman"/>
          <w:sz w:val="28"/>
          <w:szCs w:val="28"/>
          <w:lang w:val="en-US"/>
        </w:rPr>
        <w:t>.D.</w:t>
      </w:r>
      <w:r w:rsidRPr="00FB56A0">
        <w:rPr>
          <w:rFonts w:ascii="Times New Roman" w:hAnsi="Times New Roman" w:cs="Times New Roman"/>
          <w:sz w:val="28"/>
          <w:szCs w:val="28"/>
          <w:lang w:val="en-US"/>
        </w:rPr>
        <w:t xml:space="preserve"> </w:t>
      </w:r>
      <w:proofErr w:type="spellStart"/>
      <w:r w:rsidRPr="00FB56A0">
        <w:rPr>
          <w:rFonts w:ascii="Times New Roman" w:hAnsi="Times New Roman" w:cs="Times New Roman"/>
          <w:sz w:val="28"/>
          <w:szCs w:val="28"/>
          <w:lang w:val="en-US"/>
        </w:rPr>
        <w:t>Hanou</w:t>
      </w:r>
      <w:r>
        <w:rPr>
          <w:rFonts w:ascii="Times New Roman" w:hAnsi="Times New Roman" w:cs="Times New Roman"/>
          <w:sz w:val="28"/>
          <w:szCs w:val="28"/>
          <w:lang w:val="en-US"/>
        </w:rPr>
        <w:t>z</w:t>
      </w:r>
      <w:proofErr w:type="spellEnd"/>
      <w:r>
        <w:rPr>
          <w:rFonts w:ascii="Times New Roman" w:hAnsi="Times New Roman" w:cs="Times New Roman"/>
          <w:sz w:val="28"/>
          <w:szCs w:val="28"/>
          <w:lang w:val="en-US"/>
        </w:rPr>
        <w:t>, Geiger</w:t>
      </w:r>
      <w:r w:rsidRPr="00FB56A0">
        <w:rPr>
          <w:rFonts w:ascii="Times New Roman" w:hAnsi="Times New Roman" w:cs="Times New Roman"/>
          <w:sz w:val="28"/>
          <w:szCs w:val="28"/>
          <w:lang w:val="en-US"/>
        </w:rPr>
        <w:t xml:space="preserve"> </w:t>
      </w:r>
      <w:r>
        <w:rPr>
          <w:rFonts w:ascii="Times New Roman" w:hAnsi="Times New Roman" w:cs="Times New Roman"/>
          <w:sz w:val="28"/>
          <w:szCs w:val="28"/>
          <w:lang w:val="en-US"/>
        </w:rPr>
        <w:t>T., and Doherty</w:t>
      </w:r>
      <w:r w:rsidRPr="00FB56A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 </w:t>
      </w:r>
      <w:r w:rsidRPr="00FB56A0">
        <w:rPr>
          <w:rFonts w:ascii="Times New Roman" w:hAnsi="Times New Roman" w:cs="Times New Roman"/>
          <w:sz w:val="28"/>
          <w:szCs w:val="28"/>
          <w:lang w:val="en-US"/>
        </w:rPr>
        <w:t>World Economic Forum</w:t>
      </w:r>
      <w:r>
        <w:rPr>
          <w:rFonts w:ascii="Times New Roman" w:hAnsi="Times New Roman" w:cs="Times New Roman"/>
          <w:sz w:val="28"/>
          <w:szCs w:val="28"/>
          <w:lang w:val="en-US"/>
        </w:rPr>
        <w:t xml:space="preserve">, </w:t>
      </w:r>
      <w:r w:rsidRPr="00FB56A0">
        <w:rPr>
          <w:rFonts w:ascii="Times New Roman" w:hAnsi="Times New Roman" w:cs="Times New Roman"/>
          <w:sz w:val="28"/>
          <w:szCs w:val="28"/>
          <w:lang w:val="en-US"/>
        </w:rPr>
        <w:t>2014</w:t>
      </w:r>
    </w:p>
    <w:p w:rsidR="007C5BF2" w:rsidRDefault="001A1351"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Armenia used to have the most liberal market access rules compare to Russia and Kazakhstan and more efficient border administration. </w:t>
      </w:r>
      <w:r w:rsidR="004F32F6">
        <w:rPr>
          <w:rFonts w:ascii="Times New Roman" w:hAnsi="Times New Roman" w:cs="Times New Roman"/>
          <w:sz w:val="28"/>
          <w:szCs w:val="28"/>
          <w:lang w:val="en-US"/>
        </w:rPr>
        <w:t>H</w:t>
      </w:r>
      <w:r>
        <w:rPr>
          <w:rFonts w:ascii="Times New Roman" w:hAnsi="Times New Roman" w:cs="Times New Roman"/>
          <w:sz w:val="28"/>
          <w:szCs w:val="28"/>
          <w:lang w:val="en-US"/>
        </w:rPr>
        <w:t>ig</w:t>
      </w:r>
      <w:r w:rsidR="004F32F6">
        <w:rPr>
          <w:rFonts w:ascii="Times New Roman" w:hAnsi="Times New Roman" w:cs="Times New Roman"/>
          <w:sz w:val="28"/>
          <w:szCs w:val="28"/>
          <w:lang w:val="en-US"/>
        </w:rPr>
        <w:t xml:space="preserve">her Russian indices for </w:t>
      </w:r>
      <w:r w:rsidR="004F32F6" w:rsidRPr="00504F22">
        <w:rPr>
          <w:rFonts w:ascii="Times New Roman" w:hAnsi="Times New Roman" w:cs="Times New Roman"/>
          <w:sz w:val="28"/>
          <w:szCs w:val="28"/>
          <w:lang w:val="en-US"/>
        </w:rPr>
        <w:t>Availability &amp; quality of transport infrastructure</w:t>
      </w:r>
      <w:r w:rsidR="004F32F6">
        <w:rPr>
          <w:rFonts w:ascii="Times New Roman" w:hAnsi="Times New Roman" w:cs="Times New Roman"/>
          <w:sz w:val="28"/>
          <w:szCs w:val="28"/>
          <w:lang w:val="en-US"/>
        </w:rPr>
        <w:t xml:space="preserve"> and </w:t>
      </w:r>
      <w:r w:rsidR="004F32F6" w:rsidRPr="00504F22">
        <w:rPr>
          <w:rFonts w:ascii="Times New Roman" w:hAnsi="Times New Roman" w:cs="Times New Roman"/>
          <w:sz w:val="28"/>
          <w:szCs w:val="28"/>
          <w:lang w:val="en-US"/>
        </w:rPr>
        <w:t>use of ICTs</w:t>
      </w:r>
      <w:r w:rsidR="004F32F6">
        <w:rPr>
          <w:rFonts w:ascii="Times New Roman" w:hAnsi="Times New Roman" w:cs="Times New Roman"/>
          <w:sz w:val="28"/>
          <w:szCs w:val="28"/>
          <w:lang w:val="en-US"/>
        </w:rPr>
        <w:t xml:space="preserve"> are quite </w:t>
      </w:r>
      <w:r w:rsidR="004F32F6" w:rsidRPr="004F32F6">
        <w:rPr>
          <w:rFonts w:ascii="Times New Roman" w:hAnsi="Times New Roman" w:cs="Times New Roman"/>
          <w:sz w:val="28"/>
          <w:szCs w:val="28"/>
          <w:lang w:val="en-US"/>
        </w:rPr>
        <w:t>foreseeable</w:t>
      </w:r>
      <w:r w:rsidR="004F32F6">
        <w:rPr>
          <w:rFonts w:ascii="Times New Roman" w:hAnsi="Times New Roman" w:cs="Times New Roman"/>
          <w:sz w:val="28"/>
          <w:szCs w:val="28"/>
          <w:lang w:val="en-US"/>
        </w:rPr>
        <w:t>. At the same time, operation environment in Russia is not friendly: 2,5 times worse than in Armenia and 1,8 than in Kazakhstan.</w:t>
      </w:r>
    </w:p>
    <w:p w:rsidR="001F4844" w:rsidRDefault="001F4844" w:rsidP="00E51A4E">
      <w:pPr>
        <w:jc w:val="both"/>
        <w:rPr>
          <w:rFonts w:ascii="Times New Roman" w:hAnsi="Times New Roman" w:cs="Times New Roman"/>
          <w:sz w:val="28"/>
          <w:szCs w:val="28"/>
          <w:lang w:val="en-US"/>
        </w:rPr>
      </w:pPr>
    </w:p>
    <w:p w:rsidR="006169AE" w:rsidRPr="00674FDE" w:rsidRDefault="006169AE" w:rsidP="006169AE">
      <w:pPr>
        <w:rPr>
          <w:rFonts w:ascii="Times New Roman" w:hAnsi="Times New Roman" w:cs="Times New Roman"/>
          <w:b/>
          <w:sz w:val="32"/>
          <w:szCs w:val="32"/>
          <w:lang w:val="en-US"/>
        </w:rPr>
      </w:pPr>
      <w:r w:rsidRPr="00674FDE">
        <w:rPr>
          <w:rFonts w:ascii="Times New Roman" w:hAnsi="Times New Roman" w:cs="Times New Roman"/>
          <w:b/>
          <w:sz w:val="32"/>
          <w:szCs w:val="32"/>
          <w:lang w:val="en-US"/>
        </w:rPr>
        <w:t>Regional value chains development: key issues and challenges</w:t>
      </w:r>
    </w:p>
    <w:p w:rsidR="006169AE" w:rsidRDefault="006169AE"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Pr="00035C98">
        <w:rPr>
          <w:rFonts w:ascii="Times New Roman" w:hAnsi="Times New Roman" w:cs="Times New Roman"/>
          <w:sz w:val="28"/>
          <w:szCs w:val="28"/>
          <w:lang w:val="en-US"/>
        </w:rPr>
        <w:t xml:space="preserve">articipation </w:t>
      </w:r>
      <w:r>
        <w:rPr>
          <w:rFonts w:ascii="Times New Roman" w:hAnsi="Times New Roman" w:cs="Times New Roman"/>
          <w:sz w:val="28"/>
          <w:szCs w:val="28"/>
          <w:lang w:val="en-US"/>
        </w:rPr>
        <w:t>of</w:t>
      </w:r>
      <w:r w:rsidRPr="00035C98">
        <w:rPr>
          <w:rFonts w:ascii="Times New Roman" w:hAnsi="Times New Roman" w:cs="Times New Roman"/>
          <w:sz w:val="28"/>
          <w:szCs w:val="28"/>
          <w:lang w:val="en-US"/>
        </w:rPr>
        <w:t xml:space="preserve"> Russian companies in international value chains remains very low.</w:t>
      </w:r>
      <w:r>
        <w:rPr>
          <w:rFonts w:ascii="Times New Roman" w:hAnsi="Times New Roman" w:cs="Times New Roman"/>
          <w:sz w:val="28"/>
          <w:szCs w:val="28"/>
          <w:lang w:val="en-US"/>
        </w:rPr>
        <w:t xml:space="preserve"> </w:t>
      </w:r>
      <w:r w:rsidRPr="00035C98">
        <w:rPr>
          <w:rFonts w:ascii="Times New Roman" w:hAnsi="Times New Roman" w:cs="Times New Roman"/>
          <w:sz w:val="28"/>
          <w:szCs w:val="28"/>
          <w:lang w:val="en-US"/>
        </w:rPr>
        <w:t>The latest figures available in the OECD/WTO database of trade in value-added (</w:t>
      </w:r>
      <w:proofErr w:type="spellStart"/>
      <w:r w:rsidRPr="00035C98">
        <w:rPr>
          <w:rFonts w:ascii="Times New Roman" w:hAnsi="Times New Roman" w:cs="Times New Roman"/>
          <w:sz w:val="28"/>
          <w:szCs w:val="28"/>
          <w:lang w:val="en-US"/>
        </w:rPr>
        <w:t>TiVA</w:t>
      </w:r>
      <w:proofErr w:type="spellEnd"/>
      <w:r w:rsidRPr="00035C98">
        <w:rPr>
          <w:rFonts w:ascii="Times New Roman" w:hAnsi="Times New Roman" w:cs="Times New Roman"/>
          <w:sz w:val="28"/>
          <w:szCs w:val="28"/>
          <w:lang w:val="en-US"/>
        </w:rPr>
        <w:t xml:space="preserve">) estimate </w:t>
      </w:r>
      <w:r>
        <w:rPr>
          <w:rFonts w:ascii="Times New Roman" w:hAnsi="Times New Roman" w:cs="Times New Roman"/>
          <w:sz w:val="28"/>
          <w:szCs w:val="28"/>
          <w:lang w:val="en-US"/>
        </w:rPr>
        <w:t xml:space="preserve">a </w:t>
      </w:r>
      <w:r w:rsidRPr="00035C98">
        <w:rPr>
          <w:rFonts w:ascii="Times New Roman" w:hAnsi="Times New Roman" w:cs="Times New Roman"/>
          <w:sz w:val="28"/>
          <w:szCs w:val="28"/>
          <w:lang w:val="en-US"/>
        </w:rPr>
        <w:t xml:space="preserve">domestic value added embodied in exports for Russia at the level of US$ 308,530.2 million in 2009 and </w:t>
      </w:r>
      <w:r>
        <w:rPr>
          <w:rFonts w:ascii="Times New Roman" w:hAnsi="Times New Roman" w:cs="Times New Roman"/>
          <w:sz w:val="28"/>
          <w:szCs w:val="28"/>
          <w:lang w:val="en-US"/>
        </w:rPr>
        <w:t xml:space="preserve">a </w:t>
      </w:r>
      <w:r w:rsidRPr="00035C98">
        <w:rPr>
          <w:rFonts w:ascii="Times New Roman" w:hAnsi="Times New Roman" w:cs="Times New Roman"/>
          <w:sz w:val="28"/>
          <w:szCs w:val="28"/>
          <w:lang w:val="en-US"/>
        </w:rPr>
        <w:t>domestic value added embodied in foreign final demand at US$ 305,654.1 million (OECD, 2013). At the same time, the entire export of the country, according to the same source, amounted to US$ 331,374.8 million. This means that the bulk of the products that were exported from Russia did not participate in value chains. This is no surprise, taking into consideration the structure of Russia’s foreign trade. The foreign value-added share of gross exports for Russia was 9.58 per cent in 2005, 9.02 per cent in 2008 and 7.2 per cent in 2009 (OECD, 2013)</w:t>
      </w:r>
      <w:r>
        <w:rPr>
          <w:rStyle w:val="a5"/>
          <w:rFonts w:ascii="Times New Roman" w:hAnsi="Times New Roman" w:cs="Times New Roman"/>
          <w:sz w:val="28"/>
          <w:szCs w:val="28"/>
          <w:lang w:val="en-US"/>
        </w:rPr>
        <w:footnoteReference w:id="25"/>
      </w:r>
      <w:r w:rsidRPr="00035C98">
        <w:rPr>
          <w:rFonts w:ascii="Times New Roman" w:hAnsi="Times New Roman" w:cs="Times New Roman"/>
          <w:sz w:val="28"/>
          <w:szCs w:val="28"/>
          <w:lang w:val="en-US"/>
        </w:rPr>
        <w:t>.</w:t>
      </w:r>
    </w:p>
    <w:p w:rsidR="006169AE" w:rsidRDefault="006169AE"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OECD/WTO </w:t>
      </w:r>
      <w:proofErr w:type="spellStart"/>
      <w:r>
        <w:rPr>
          <w:rFonts w:ascii="Times New Roman" w:hAnsi="Times New Roman" w:cs="Times New Roman"/>
          <w:sz w:val="28"/>
          <w:szCs w:val="28"/>
          <w:lang w:val="en-US"/>
        </w:rPr>
        <w:t>TiVA</w:t>
      </w:r>
      <w:proofErr w:type="spellEnd"/>
      <w:r>
        <w:rPr>
          <w:rFonts w:ascii="Times New Roman" w:hAnsi="Times New Roman" w:cs="Times New Roman"/>
          <w:sz w:val="28"/>
          <w:szCs w:val="28"/>
          <w:lang w:val="en-US"/>
        </w:rPr>
        <w:t xml:space="preserve"> database does not contain information on other EAEU members, rather than Russia. So it is quite difficult to make a proper comparison</w:t>
      </w:r>
      <w:r w:rsidR="005D17CC">
        <w:rPr>
          <w:rFonts w:ascii="Times New Roman" w:hAnsi="Times New Roman" w:cs="Times New Roman"/>
          <w:sz w:val="28"/>
          <w:szCs w:val="28"/>
          <w:lang w:val="en-US"/>
        </w:rPr>
        <w:t xml:space="preserve"> of their participation in GVCs</w:t>
      </w:r>
      <w:r>
        <w:rPr>
          <w:rFonts w:ascii="Times New Roman" w:hAnsi="Times New Roman" w:cs="Times New Roman"/>
          <w:sz w:val="28"/>
          <w:szCs w:val="28"/>
          <w:lang w:val="en-US"/>
        </w:rPr>
        <w:t>. At the same time one might argue that the situation is very similar for Kazakhstan (</w:t>
      </w:r>
      <w:r w:rsidR="00E328EB">
        <w:rPr>
          <w:rFonts w:ascii="Times New Roman" w:hAnsi="Times New Roman" w:cs="Times New Roman"/>
          <w:sz w:val="28"/>
          <w:szCs w:val="28"/>
          <w:lang w:val="en-US"/>
        </w:rPr>
        <w:t>export structure is dominated by mineral products</w:t>
      </w:r>
      <w:r>
        <w:rPr>
          <w:rFonts w:ascii="Times New Roman" w:hAnsi="Times New Roman" w:cs="Times New Roman"/>
          <w:sz w:val="28"/>
          <w:szCs w:val="28"/>
          <w:lang w:val="en-US"/>
        </w:rPr>
        <w:t>)</w:t>
      </w:r>
      <w:r w:rsidR="00E328EB">
        <w:rPr>
          <w:rFonts w:ascii="Times New Roman" w:hAnsi="Times New Roman" w:cs="Times New Roman"/>
          <w:sz w:val="28"/>
          <w:szCs w:val="28"/>
          <w:lang w:val="en-US"/>
        </w:rPr>
        <w:t xml:space="preserve">. </w:t>
      </w:r>
      <w:r w:rsidR="005D17CC">
        <w:rPr>
          <w:rFonts w:ascii="Times New Roman" w:hAnsi="Times New Roman" w:cs="Times New Roman"/>
          <w:sz w:val="28"/>
          <w:szCs w:val="28"/>
          <w:lang w:val="en-US"/>
        </w:rPr>
        <w:t>As for regional value chains they party might be a result of economic cooperation between members states, and partly – as an outcome of investment activities.</w:t>
      </w:r>
      <w:r w:rsidR="00AD54A1">
        <w:rPr>
          <w:rFonts w:ascii="Times New Roman" w:hAnsi="Times New Roman" w:cs="Times New Roman"/>
          <w:sz w:val="28"/>
          <w:szCs w:val="28"/>
          <w:lang w:val="en-US"/>
        </w:rPr>
        <w:t xml:space="preserve"> </w:t>
      </w:r>
    </w:p>
    <w:p w:rsidR="00AD54A1" w:rsidRDefault="00AD54A1"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Regardless overall modes</w:t>
      </w:r>
      <w:r w:rsidR="00E93040">
        <w:rPr>
          <w:rFonts w:ascii="Times New Roman" w:hAnsi="Times New Roman" w:cs="Times New Roman"/>
          <w:sz w:val="28"/>
          <w:szCs w:val="28"/>
          <w:lang w:val="en-US"/>
        </w:rPr>
        <w:t>t</w:t>
      </w:r>
      <w:r>
        <w:rPr>
          <w:rFonts w:ascii="Times New Roman" w:hAnsi="Times New Roman" w:cs="Times New Roman"/>
          <w:sz w:val="28"/>
          <w:szCs w:val="28"/>
          <w:lang w:val="en-US"/>
        </w:rPr>
        <w:t xml:space="preserve"> situation with RVCs development, one could observe certain positive trends. For </w:t>
      </w:r>
      <w:r w:rsidR="00E93040">
        <w:rPr>
          <w:rFonts w:ascii="Times New Roman" w:hAnsi="Times New Roman" w:cs="Times New Roman"/>
          <w:sz w:val="28"/>
          <w:szCs w:val="28"/>
          <w:lang w:val="en-US"/>
        </w:rPr>
        <w:t>e</w:t>
      </w:r>
      <w:r>
        <w:rPr>
          <w:rFonts w:ascii="Times New Roman" w:hAnsi="Times New Roman" w:cs="Times New Roman"/>
          <w:sz w:val="28"/>
          <w:szCs w:val="28"/>
          <w:lang w:val="en-US"/>
        </w:rPr>
        <w:t>xample</w:t>
      </w:r>
      <w:r w:rsidR="00E93040">
        <w:rPr>
          <w:rFonts w:ascii="Times New Roman" w:hAnsi="Times New Roman" w:cs="Times New Roman"/>
          <w:sz w:val="28"/>
          <w:szCs w:val="28"/>
          <w:lang w:val="en-US"/>
        </w:rPr>
        <w:t>, t</w:t>
      </w:r>
      <w:r w:rsidR="00E93040" w:rsidRPr="00E93040">
        <w:rPr>
          <w:rFonts w:ascii="Times New Roman" w:hAnsi="Times New Roman" w:cs="Times New Roman"/>
          <w:sz w:val="28"/>
          <w:szCs w:val="28"/>
          <w:lang w:val="en-US"/>
        </w:rPr>
        <w:t>he main priorities</w:t>
      </w:r>
      <w:r w:rsidR="00E93040">
        <w:rPr>
          <w:rFonts w:ascii="Times New Roman" w:hAnsi="Times New Roman" w:cs="Times New Roman"/>
          <w:sz w:val="28"/>
          <w:szCs w:val="28"/>
          <w:lang w:val="en-US"/>
        </w:rPr>
        <w:t xml:space="preserve"> </w:t>
      </w:r>
      <w:r w:rsidR="00E93040" w:rsidRPr="00E93040">
        <w:rPr>
          <w:rFonts w:ascii="Times New Roman" w:hAnsi="Times New Roman" w:cs="Times New Roman"/>
          <w:sz w:val="28"/>
          <w:szCs w:val="28"/>
          <w:lang w:val="en-US"/>
        </w:rPr>
        <w:t xml:space="preserve">of the </w:t>
      </w:r>
      <w:r w:rsidR="00E93040">
        <w:rPr>
          <w:rFonts w:ascii="Times New Roman" w:hAnsi="Times New Roman" w:cs="Times New Roman"/>
          <w:sz w:val="28"/>
          <w:szCs w:val="28"/>
          <w:lang w:val="en-US"/>
        </w:rPr>
        <w:t xml:space="preserve">Belarusian companies </w:t>
      </w:r>
      <w:r w:rsidR="00E93040" w:rsidRPr="00E93040">
        <w:rPr>
          <w:rFonts w:ascii="Times New Roman" w:hAnsi="Times New Roman" w:cs="Times New Roman"/>
          <w:sz w:val="28"/>
          <w:szCs w:val="28"/>
          <w:lang w:val="en-US"/>
        </w:rPr>
        <w:t>investment policy</w:t>
      </w:r>
      <w:r w:rsidR="00E93040">
        <w:rPr>
          <w:rFonts w:ascii="Times New Roman" w:hAnsi="Times New Roman" w:cs="Times New Roman"/>
          <w:sz w:val="28"/>
          <w:szCs w:val="28"/>
          <w:lang w:val="en-US"/>
        </w:rPr>
        <w:t xml:space="preserve"> is</w:t>
      </w:r>
      <w:r w:rsidR="00E93040" w:rsidRPr="00E93040">
        <w:rPr>
          <w:rFonts w:ascii="Times New Roman" w:hAnsi="Times New Roman" w:cs="Times New Roman"/>
          <w:sz w:val="28"/>
          <w:szCs w:val="28"/>
          <w:lang w:val="en-US"/>
        </w:rPr>
        <w:t xml:space="preserve"> in establish</w:t>
      </w:r>
      <w:r w:rsidR="00E93040">
        <w:rPr>
          <w:rFonts w:ascii="Times New Roman" w:hAnsi="Times New Roman" w:cs="Times New Roman"/>
          <w:sz w:val="28"/>
          <w:szCs w:val="28"/>
          <w:lang w:val="en-US"/>
        </w:rPr>
        <w:t xml:space="preserve">ing </w:t>
      </w:r>
      <w:r w:rsidR="00E93040" w:rsidRPr="00E93040">
        <w:rPr>
          <w:rFonts w:ascii="Times New Roman" w:hAnsi="Times New Roman" w:cs="Times New Roman"/>
          <w:sz w:val="28"/>
          <w:szCs w:val="28"/>
          <w:lang w:val="en-US"/>
        </w:rPr>
        <w:t>assembly plants</w:t>
      </w:r>
      <w:r w:rsidR="00E93040">
        <w:rPr>
          <w:rFonts w:ascii="Times New Roman" w:hAnsi="Times New Roman" w:cs="Times New Roman"/>
          <w:sz w:val="28"/>
          <w:szCs w:val="28"/>
          <w:lang w:val="en-US"/>
        </w:rPr>
        <w:t xml:space="preserve"> in Russia. They should produce Belarusian equipment</w:t>
      </w:r>
      <w:r w:rsidR="00E93040">
        <w:rPr>
          <w:rStyle w:val="a5"/>
          <w:rFonts w:ascii="Times New Roman" w:hAnsi="Times New Roman" w:cs="Times New Roman"/>
          <w:sz w:val="28"/>
          <w:szCs w:val="28"/>
          <w:lang w:val="en-US"/>
        </w:rPr>
        <w:footnoteReference w:id="26"/>
      </w:r>
      <w:r w:rsidR="00E93040" w:rsidRPr="00E93040">
        <w:rPr>
          <w:rFonts w:ascii="Times New Roman" w:hAnsi="Times New Roman" w:cs="Times New Roman"/>
          <w:sz w:val="28"/>
          <w:szCs w:val="28"/>
          <w:lang w:val="en-US"/>
        </w:rPr>
        <w:t>.</w:t>
      </w:r>
    </w:p>
    <w:p w:rsidR="00E93040" w:rsidRDefault="00E93040"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Among the joint programmes that will be supported by the member governments, there are </w:t>
      </w:r>
      <w:r w:rsidRPr="00E93040">
        <w:rPr>
          <w:rFonts w:ascii="Times New Roman" w:hAnsi="Times New Roman" w:cs="Times New Roman"/>
          <w:sz w:val="28"/>
          <w:szCs w:val="28"/>
          <w:lang w:val="en-US"/>
        </w:rPr>
        <w:t>space</w:t>
      </w:r>
      <w:r>
        <w:rPr>
          <w:rFonts w:ascii="Times New Roman" w:hAnsi="Times New Roman" w:cs="Times New Roman"/>
          <w:sz w:val="28"/>
          <w:szCs w:val="28"/>
          <w:lang w:val="en-US"/>
        </w:rPr>
        <w:t xml:space="preserve"> technologies</w:t>
      </w:r>
      <w:r w:rsidRPr="00E93040">
        <w:rPr>
          <w:rFonts w:ascii="Times New Roman" w:hAnsi="Times New Roman" w:cs="Times New Roman"/>
          <w:sz w:val="28"/>
          <w:szCs w:val="28"/>
          <w:lang w:val="en-US"/>
        </w:rPr>
        <w:t xml:space="preserve">, the third generation of thermal imagers, the new chips and semiconductor devices, </w:t>
      </w:r>
      <w:r w:rsidR="001A2D04">
        <w:rPr>
          <w:rFonts w:ascii="Times New Roman" w:hAnsi="Times New Roman" w:cs="Times New Roman"/>
          <w:sz w:val="28"/>
          <w:szCs w:val="28"/>
          <w:lang w:val="en-US"/>
        </w:rPr>
        <w:t xml:space="preserve">and </w:t>
      </w:r>
      <w:r w:rsidRPr="00E93040">
        <w:rPr>
          <w:rFonts w:ascii="Times New Roman" w:hAnsi="Times New Roman" w:cs="Times New Roman"/>
          <w:sz w:val="28"/>
          <w:szCs w:val="28"/>
          <w:lang w:val="en-US"/>
        </w:rPr>
        <w:t xml:space="preserve">a new generation of </w:t>
      </w:r>
      <w:proofErr w:type="spellStart"/>
      <w:r w:rsidRPr="00E93040">
        <w:rPr>
          <w:rFonts w:ascii="Times New Roman" w:hAnsi="Times New Roman" w:cs="Times New Roman"/>
          <w:sz w:val="28"/>
          <w:szCs w:val="28"/>
          <w:lang w:val="en-US"/>
        </w:rPr>
        <w:t>microsystems</w:t>
      </w:r>
      <w:proofErr w:type="spellEnd"/>
      <w:r w:rsidRPr="00E93040">
        <w:rPr>
          <w:rFonts w:ascii="Times New Roman" w:hAnsi="Times New Roman" w:cs="Times New Roman"/>
          <w:sz w:val="28"/>
          <w:szCs w:val="28"/>
          <w:lang w:val="en-US"/>
        </w:rPr>
        <w:t>.</w:t>
      </w:r>
      <w:r w:rsidR="001F4844">
        <w:rPr>
          <w:rFonts w:ascii="Times New Roman" w:hAnsi="Times New Roman" w:cs="Times New Roman"/>
          <w:sz w:val="28"/>
          <w:szCs w:val="28"/>
          <w:lang w:val="en-US"/>
        </w:rPr>
        <w:t xml:space="preserve"> Development of these projects is not feasible without construction of RVCs.</w:t>
      </w:r>
    </w:p>
    <w:p w:rsidR="00750B73" w:rsidRPr="00E93040" w:rsidRDefault="00750B73" w:rsidP="00E51A4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Russian-Kazakh cooperation is developing in space industry. In addition to that, it is worth to mention </w:t>
      </w:r>
      <w:r w:rsidRPr="00750B73">
        <w:rPr>
          <w:rFonts w:ascii="Times New Roman" w:hAnsi="Times New Roman" w:cs="Times New Roman"/>
          <w:sz w:val="28"/>
          <w:szCs w:val="28"/>
          <w:lang w:val="en-US"/>
        </w:rPr>
        <w:t xml:space="preserve">currently operating in Kazakhstan </w:t>
      </w:r>
      <w:r>
        <w:rPr>
          <w:rFonts w:ascii="Times New Roman" w:hAnsi="Times New Roman" w:cs="Times New Roman"/>
          <w:sz w:val="28"/>
          <w:szCs w:val="28"/>
          <w:lang w:val="en-US"/>
        </w:rPr>
        <w:t xml:space="preserve">a </w:t>
      </w:r>
      <w:r w:rsidRPr="00750B73">
        <w:rPr>
          <w:rFonts w:ascii="Times New Roman" w:hAnsi="Times New Roman" w:cs="Times New Roman"/>
          <w:sz w:val="28"/>
          <w:szCs w:val="28"/>
          <w:lang w:val="en-US"/>
        </w:rPr>
        <w:t xml:space="preserve">joint vehicle assembly </w:t>
      </w:r>
      <w:r>
        <w:rPr>
          <w:rFonts w:ascii="Times New Roman" w:hAnsi="Times New Roman" w:cs="Times New Roman"/>
          <w:sz w:val="28"/>
          <w:szCs w:val="28"/>
          <w:lang w:val="en-US"/>
        </w:rPr>
        <w:t xml:space="preserve">company KAMAZ-Engineering that assembles trucks, </w:t>
      </w:r>
      <w:r w:rsidRPr="00750B73">
        <w:rPr>
          <w:rFonts w:ascii="Times New Roman" w:hAnsi="Times New Roman" w:cs="Times New Roman"/>
          <w:sz w:val="28"/>
          <w:szCs w:val="28"/>
          <w:lang w:val="en-US"/>
        </w:rPr>
        <w:t>dumper</w:t>
      </w:r>
      <w:r>
        <w:rPr>
          <w:rFonts w:ascii="Times New Roman" w:hAnsi="Times New Roman" w:cs="Times New Roman"/>
          <w:sz w:val="28"/>
          <w:szCs w:val="28"/>
          <w:lang w:val="en-US"/>
        </w:rPr>
        <w:t>s</w:t>
      </w:r>
      <w:r w:rsidRPr="00750B73">
        <w:rPr>
          <w:rFonts w:ascii="Times New Roman" w:hAnsi="Times New Roman" w:cs="Times New Roman"/>
          <w:sz w:val="28"/>
          <w:szCs w:val="28"/>
          <w:lang w:val="en-US"/>
        </w:rPr>
        <w:t>,</w:t>
      </w:r>
      <w:r w:rsidR="00A30761">
        <w:rPr>
          <w:rFonts w:ascii="Times New Roman" w:hAnsi="Times New Roman" w:cs="Times New Roman"/>
          <w:sz w:val="28"/>
          <w:szCs w:val="28"/>
          <w:lang w:val="en-US"/>
        </w:rPr>
        <w:t xml:space="preserve"> and other large vehicles. Another joint venture </w:t>
      </w:r>
      <w:proofErr w:type="spellStart"/>
      <w:r w:rsidR="00A30761">
        <w:rPr>
          <w:rFonts w:ascii="Times New Roman" w:hAnsi="Times New Roman" w:cs="Times New Roman"/>
          <w:sz w:val="28"/>
          <w:szCs w:val="28"/>
          <w:lang w:val="en-US"/>
        </w:rPr>
        <w:t>Sollers</w:t>
      </w:r>
      <w:proofErr w:type="spellEnd"/>
      <w:r w:rsidR="00A30761">
        <w:rPr>
          <w:rFonts w:ascii="Times New Roman" w:hAnsi="Times New Roman" w:cs="Times New Roman"/>
          <w:sz w:val="28"/>
          <w:szCs w:val="28"/>
          <w:lang w:val="en-US"/>
        </w:rPr>
        <w:t>-Tobol is</w:t>
      </w:r>
      <w:r w:rsidRPr="00750B73">
        <w:rPr>
          <w:rFonts w:ascii="Times New Roman" w:hAnsi="Times New Roman" w:cs="Times New Roman"/>
          <w:sz w:val="28"/>
          <w:szCs w:val="28"/>
          <w:lang w:val="en-US"/>
        </w:rPr>
        <w:t xml:space="preserve"> working on the railway equipment</w:t>
      </w:r>
      <w:r w:rsidR="00A30761" w:rsidRPr="00A30761">
        <w:rPr>
          <w:rFonts w:ascii="Times New Roman" w:hAnsi="Times New Roman" w:cs="Times New Roman"/>
          <w:sz w:val="28"/>
          <w:szCs w:val="28"/>
          <w:lang w:val="en-US"/>
        </w:rPr>
        <w:t xml:space="preserve"> </w:t>
      </w:r>
      <w:r w:rsidR="00A30761" w:rsidRPr="00750B73">
        <w:rPr>
          <w:rFonts w:ascii="Times New Roman" w:hAnsi="Times New Roman" w:cs="Times New Roman"/>
          <w:sz w:val="28"/>
          <w:szCs w:val="28"/>
          <w:lang w:val="en-US"/>
        </w:rPr>
        <w:t>production</w:t>
      </w:r>
      <w:r w:rsidR="00A30761">
        <w:rPr>
          <w:rFonts w:ascii="Times New Roman" w:hAnsi="Times New Roman" w:cs="Times New Roman"/>
          <w:sz w:val="28"/>
          <w:szCs w:val="28"/>
          <w:lang w:val="en-US"/>
        </w:rPr>
        <w:t>, etc</w:t>
      </w:r>
      <w:r w:rsidRPr="00750B73">
        <w:rPr>
          <w:rFonts w:ascii="Times New Roman" w:hAnsi="Times New Roman" w:cs="Times New Roman"/>
          <w:sz w:val="28"/>
          <w:szCs w:val="28"/>
          <w:lang w:val="en-US"/>
        </w:rPr>
        <w:t>.</w:t>
      </w:r>
    </w:p>
    <w:p w:rsidR="00F80F3E" w:rsidRDefault="005D17CC">
      <w:pPr>
        <w:rPr>
          <w:rFonts w:ascii="Times New Roman" w:hAnsi="Times New Roman" w:cs="Times New Roman"/>
          <w:sz w:val="28"/>
          <w:szCs w:val="28"/>
          <w:lang w:val="en-US"/>
        </w:rPr>
      </w:pPr>
      <w:r>
        <w:rPr>
          <w:rFonts w:ascii="Times New Roman" w:hAnsi="Times New Roman" w:cs="Times New Roman"/>
          <w:sz w:val="28"/>
          <w:szCs w:val="28"/>
          <w:lang w:val="en-US"/>
        </w:rPr>
        <w:t>Among the key challenges of RVCs development there are the following:</w:t>
      </w:r>
    </w:p>
    <w:p w:rsidR="005D17CC" w:rsidRDefault="005D17CC" w:rsidP="005D17CC">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 xml:space="preserve">undiversified export structure of the biggest players of the EAEU </w:t>
      </w:r>
      <w:r w:rsidR="002C1989">
        <w:rPr>
          <w:rFonts w:ascii="Times New Roman" w:hAnsi="Times New Roman" w:cs="Times New Roman"/>
          <w:sz w:val="28"/>
          <w:szCs w:val="28"/>
          <w:lang w:val="en-US"/>
        </w:rPr>
        <w:t>–</w:t>
      </w:r>
      <w:r>
        <w:rPr>
          <w:rFonts w:ascii="Times New Roman" w:hAnsi="Times New Roman" w:cs="Times New Roman"/>
          <w:sz w:val="28"/>
          <w:szCs w:val="28"/>
          <w:lang w:val="en-US"/>
        </w:rPr>
        <w:t xml:space="preserve"> l</w:t>
      </w:r>
      <w:r w:rsidR="002C1989">
        <w:rPr>
          <w:rFonts w:ascii="Times New Roman" w:hAnsi="Times New Roman" w:cs="Times New Roman"/>
          <w:sz w:val="28"/>
          <w:szCs w:val="28"/>
          <w:lang w:val="en-US"/>
        </w:rPr>
        <w:t>ow background of economic cooperation,</w:t>
      </w:r>
    </w:p>
    <w:p w:rsidR="002C1989" w:rsidRDefault="002C1989" w:rsidP="005D17CC">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unfriendly business environment in the member states,</w:t>
      </w:r>
    </w:p>
    <w:p w:rsidR="002C1989" w:rsidRDefault="002C1989" w:rsidP="005D17CC">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poor infrastructure development,</w:t>
      </w:r>
    </w:p>
    <w:p w:rsidR="00726A0C" w:rsidRDefault="002C1989" w:rsidP="005D17CC">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existence of a wide range of non-tariff barriers, including technical barriers to trade and certification requirements</w:t>
      </w:r>
    </w:p>
    <w:p w:rsidR="002C1989" w:rsidRPr="005D17CC" w:rsidRDefault="00726A0C" w:rsidP="005D17CC">
      <w:pPr>
        <w:pStyle w:val="a6"/>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 xml:space="preserve">challenges in </w:t>
      </w:r>
      <w:r w:rsidRPr="00726A0C">
        <w:rPr>
          <w:rFonts w:ascii="Times New Roman" w:hAnsi="Times New Roman" w:cs="Times New Roman"/>
          <w:sz w:val="28"/>
          <w:szCs w:val="28"/>
          <w:lang w:val="en-US"/>
        </w:rPr>
        <w:t>scientific and technical potential</w:t>
      </w:r>
      <w:r w:rsidR="002C1989">
        <w:rPr>
          <w:rFonts w:ascii="Times New Roman" w:hAnsi="Times New Roman" w:cs="Times New Roman"/>
          <w:sz w:val="28"/>
          <w:szCs w:val="28"/>
          <w:lang w:val="en-US"/>
        </w:rPr>
        <w:t>.</w:t>
      </w:r>
    </w:p>
    <w:p w:rsidR="005D17CC" w:rsidRPr="00F10DB1" w:rsidRDefault="005D17CC">
      <w:pPr>
        <w:rPr>
          <w:rFonts w:ascii="Times New Roman" w:hAnsi="Times New Roman" w:cs="Times New Roman"/>
          <w:sz w:val="28"/>
          <w:szCs w:val="28"/>
          <w:lang w:val="en-US"/>
        </w:rPr>
      </w:pPr>
    </w:p>
    <w:p w:rsidR="00F93987" w:rsidRPr="00F93987" w:rsidRDefault="00F93987" w:rsidP="00F93987">
      <w:pPr>
        <w:rPr>
          <w:rFonts w:ascii="Times New Roman" w:hAnsi="Times New Roman" w:cs="Times New Roman"/>
          <w:b/>
          <w:sz w:val="32"/>
          <w:szCs w:val="32"/>
          <w:lang w:val="en-US"/>
        </w:rPr>
      </w:pPr>
      <w:r w:rsidRPr="00F93987">
        <w:rPr>
          <w:rFonts w:ascii="Times New Roman" w:hAnsi="Times New Roman" w:cs="Times New Roman"/>
          <w:b/>
          <w:sz w:val="32"/>
          <w:szCs w:val="32"/>
          <w:lang w:val="en-US"/>
        </w:rPr>
        <w:t>Conclusion</w:t>
      </w:r>
    </w:p>
    <w:p w:rsidR="00882CEB" w:rsidRDefault="00F93987" w:rsidP="00F9398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Eurasian Economic Union Treaty contains a lot of provisions on a true common market development. At the same time in internal regulation one could observe huge obstacles on trade, investment flows and RVCs development. Most of those barriers were build since the Soviet Union collapse, when newly appeared sovereign states started to develop their national trade policies in accordance with their understanding of how it should be designed, taking into consideration national interest, values and priorities (in the way how they were perceived in the certain point of time by particular political leaders). </w:t>
      </w:r>
      <w:r w:rsidR="003C772F">
        <w:rPr>
          <w:rFonts w:ascii="Times New Roman" w:hAnsi="Times New Roman" w:cs="Times New Roman"/>
          <w:sz w:val="28"/>
          <w:szCs w:val="28"/>
          <w:lang w:val="en-US"/>
        </w:rPr>
        <w:t xml:space="preserve">This leaded to wide discrepancies in regulations that now take a form of all kind of </w:t>
      </w:r>
      <w:r w:rsidR="003C772F" w:rsidRPr="003C772F">
        <w:rPr>
          <w:rFonts w:ascii="Times New Roman" w:hAnsi="Times New Roman" w:cs="Times New Roman"/>
          <w:sz w:val="28"/>
          <w:szCs w:val="28"/>
          <w:lang w:val="en-US"/>
        </w:rPr>
        <w:t>artificial</w:t>
      </w:r>
      <w:r w:rsidR="003C772F">
        <w:rPr>
          <w:rFonts w:ascii="Times New Roman" w:hAnsi="Times New Roman" w:cs="Times New Roman"/>
          <w:sz w:val="28"/>
          <w:szCs w:val="28"/>
          <w:lang w:val="en-US"/>
        </w:rPr>
        <w:t xml:space="preserve"> barriers. </w:t>
      </w:r>
      <w:r w:rsidR="00882CEB">
        <w:rPr>
          <w:rFonts w:ascii="Times New Roman" w:hAnsi="Times New Roman" w:cs="Times New Roman"/>
          <w:sz w:val="28"/>
          <w:szCs w:val="28"/>
          <w:lang w:val="en-US"/>
        </w:rPr>
        <w:t xml:space="preserve">Proper and rather quick harmonization of national legislations might have a trade facilitating effect. </w:t>
      </w:r>
    </w:p>
    <w:p w:rsidR="00EA51C7" w:rsidRDefault="00882CEB" w:rsidP="00F9398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Other </w:t>
      </w:r>
      <w:r w:rsidR="003C772F">
        <w:rPr>
          <w:rFonts w:ascii="Times New Roman" w:hAnsi="Times New Roman" w:cs="Times New Roman"/>
          <w:sz w:val="28"/>
          <w:szCs w:val="28"/>
          <w:lang w:val="en-US"/>
        </w:rPr>
        <w:t xml:space="preserve">challenges also exist. </w:t>
      </w:r>
      <w:r w:rsidR="005632C4">
        <w:rPr>
          <w:rFonts w:ascii="Times New Roman" w:hAnsi="Times New Roman" w:cs="Times New Roman"/>
          <w:sz w:val="28"/>
          <w:szCs w:val="28"/>
          <w:lang w:val="en-US"/>
        </w:rPr>
        <w:t xml:space="preserve">Natural obstacles like infrastructure </w:t>
      </w:r>
      <w:r w:rsidR="008214E3">
        <w:rPr>
          <w:rFonts w:ascii="Times New Roman" w:hAnsi="Times New Roman" w:cs="Times New Roman"/>
          <w:sz w:val="28"/>
          <w:szCs w:val="28"/>
          <w:lang w:val="en-US"/>
        </w:rPr>
        <w:t>improvement</w:t>
      </w:r>
      <w:r w:rsidR="005632C4">
        <w:rPr>
          <w:rFonts w:ascii="Times New Roman" w:hAnsi="Times New Roman" w:cs="Times New Roman"/>
          <w:sz w:val="28"/>
          <w:szCs w:val="28"/>
          <w:lang w:val="en-US"/>
        </w:rPr>
        <w:t xml:space="preserve"> also need to be addressed ASAP. At the same time, proper deve</w:t>
      </w:r>
      <w:r w:rsidR="008214E3">
        <w:rPr>
          <w:rFonts w:ascii="Times New Roman" w:hAnsi="Times New Roman" w:cs="Times New Roman"/>
          <w:sz w:val="28"/>
          <w:szCs w:val="28"/>
          <w:lang w:val="en-US"/>
        </w:rPr>
        <w:t>lopment of mutual economic cooperation is possible if only countries manage to diversify their economies and, therefore, their exports.</w:t>
      </w:r>
      <w:r w:rsidR="00847F04">
        <w:rPr>
          <w:rFonts w:ascii="Times New Roman" w:hAnsi="Times New Roman" w:cs="Times New Roman"/>
          <w:sz w:val="28"/>
          <w:szCs w:val="28"/>
          <w:lang w:val="en-US"/>
        </w:rPr>
        <w:t xml:space="preserve"> </w:t>
      </w:r>
      <w:r w:rsidR="003E7D4E">
        <w:rPr>
          <w:rFonts w:ascii="Times New Roman" w:hAnsi="Times New Roman" w:cs="Times New Roman"/>
          <w:sz w:val="28"/>
          <w:szCs w:val="28"/>
          <w:lang w:val="en-US"/>
        </w:rPr>
        <w:t>So, s</w:t>
      </w:r>
      <w:r w:rsidR="00847F04">
        <w:rPr>
          <w:rFonts w:ascii="Times New Roman" w:hAnsi="Times New Roman" w:cs="Times New Roman"/>
          <w:sz w:val="28"/>
          <w:szCs w:val="28"/>
          <w:lang w:val="en-US"/>
        </w:rPr>
        <w:t xml:space="preserve">ome solutions </w:t>
      </w:r>
      <w:r w:rsidR="003E7D4E">
        <w:rPr>
          <w:rFonts w:ascii="Times New Roman" w:hAnsi="Times New Roman" w:cs="Times New Roman"/>
          <w:sz w:val="28"/>
          <w:szCs w:val="28"/>
          <w:lang w:val="en-US"/>
        </w:rPr>
        <w:t xml:space="preserve">for mutual economic cooperation </w:t>
      </w:r>
      <w:r>
        <w:rPr>
          <w:rFonts w:ascii="Times New Roman" w:hAnsi="Times New Roman" w:cs="Times New Roman"/>
          <w:sz w:val="28"/>
          <w:szCs w:val="28"/>
          <w:lang w:val="en-US"/>
        </w:rPr>
        <w:t xml:space="preserve">fostering </w:t>
      </w:r>
      <w:r w:rsidR="00847F04">
        <w:rPr>
          <w:rFonts w:ascii="Times New Roman" w:hAnsi="Times New Roman" w:cs="Times New Roman"/>
          <w:sz w:val="28"/>
          <w:szCs w:val="28"/>
          <w:lang w:val="en-US"/>
        </w:rPr>
        <w:t>could be found in trade facilitating efforts</w:t>
      </w:r>
      <w:r w:rsidR="003E7D4E">
        <w:rPr>
          <w:rFonts w:ascii="Times New Roman" w:hAnsi="Times New Roman" w:cs="Times New Roman"/>
          <w:sz w:val="28"/>
          <w:szCs w:val="28"/>
          <w:lang w:val="en-US"/>
        </w:rPr>
        <w:t xml:space="preserve"> of the EAEU as a </w:t>
      </w:r>
      <w:r w:rsidR="003E7D4E">
        <w:rPr>
          <w:rFonts w:ascii="Times New Roman" w:hAnsi="Times New Roman" w:cs="Times New Roman"/>
          <w:sz w:val="28"/>
          <w:szCs w:val="28"/>
          <w:lang w:val="en-US"/>
        </w:rPr>
        <w:lastRenderedPageBreak/>
        <w:t>single economic space</w:t>
      </w:r>
      <w:r w:rsidR="00847F04">
        <w:rPr>
          <w:rFonts w:ascii="Times New Roman" w:hAnsi="Times New Roman" w:cs="Times New Roman"/>
          <w:sz w:val="28"/>
          <w:szCs w:val="28"/>
          <w:lang w:val="en-US"/>
        </w:rPr>
        <w:t xml:space="preserve">, but </w:t>
      </w:r>
      <w:r w:rsidR="003E7D4E">
        <w:rPr>
          <w:rFonts w:ascii="Times New Roman" w:hAnsi="Times New Roman" w:cs="Times New Roman"/>
          <w:sz w:val="28"/>
          <w:szCs w:val="28"/>
          <w:lang w:val="en-US"/>
        </w:rPr>
        <w:t>the bulk of them are laying down in the overall economic development</w:t>
      </w:r>
      <w:r>
        <w:rPr>
          <w:rFonts w:ascii="Times New Roman" w:hAnsi="Times New Roman" w:cs="Times New Roman"/>
          <w:sz w:val="28"/>
          <w:szCs w:val="28"/>
          <w:lang w:val="en-US"/>
        </w:rPr>
        <w:t xml:space="preserve"> of the member states</w:t>
      </w:r>
      <w:r w:rsidR="003E7D4E">
        <w:rPr>
          <w:rFonts w:ascii="Times New Roman" w:hAnsi="Times New Roman" w:cs="Times New Roman"/>
          <w:sz w:val="28"/>
          <w:szCs w:val="28"/>
          <w:lang w:val="en-US"/>
        </w:rPr>
        <w:t>.</w:t>
      </w:r>
    </w:p>
    <w:p w:rsidR="00F93987" w:rsidRPr="00F93987" w:rsidRDefault="00F93987" w:rsidP="00A539E6">
      <w:pPr>
        <w:rPr>
          <w:rFonts w:ascii="Times New Roman" w:hAnsi="Times New Roman" w:cs="Times New Roman"/>
          <w:sz w:val="28"/>
          <w:szCs w:val="28"/>
          <w:lang w:val="en-US"/>
        </w:rPr>
      </w:pPr>
    </w:p>
    <w:p w:rsidR="00D202AD" w:rsidRPr="005D17CC" w:rsidRDefault="00D202AD" w:rsidP="00A539E6">
      <w:pPr>
        <w:rPr>
          <w:rFonts w:ascii="Times New Roman" w:hAnsi="Times New Roman" w:cs="Times New Roman"/>
          <w:b/>
          <w:sz w:val="32"/>
          <w:szCs w:val="32"/>
          <w:lang w:val="en-US"/>
        </w:rPr>
      </w:pPr>
      <w:r w:rsidRPr="005D17CC">
        <w:rPr>
          <w:rFonts w:ascii="Times New Roman" w:hAnsi="Times New Roman" w:cs="Times New Roman"/>
          <w:b/>
          <w:sz w:val="32"/>
          <w:szCs w:val="32"/>
          <w:lang w:val="en-US"/>
        </w:rPr>
        <w:t>Bibliography</w:t>
      </w:r>
    </w:p>
    <w:p w:rsidR="00243483" w:rsidRDefault="00243483" w:rsidP="00243483">
      <w:pPr>
        <w:spacing w:after="0"/>
        <w:ind w:left="709" w:hanging="709"/>
        <w:jc w:val="both"/>
        <w:rPr>
          <w:rFonts w:ascii="Times New Roman" w:hAnsi="Times New Roman" w:cs="Times New Roman"/>
          <w:sz w:val="28"/>
          <w:szCs w:val="28"/>
          <w:lang w:val="en-US"/>
        </w:rPr>
      </w:pPr>
      <w:r w:rsidRPr="00243483">
        <w:rPr>
          <w:rFonts w:ascii="Times New Roman" w:hAnsi="Times New Roman" w:cs="Times New Roman"/>
          <w:sz w:val="28"/>
          <w:szCs w:val="28"/>
          <w:lang w:val="en-US"/>
        </w:rPr>
        <w:t xml:space="preserve">Assessment of on-tariff barriers in the EAEU: results of business surveys. Report 30. Eurasian Bank of Development. St. Petersburg, 2015. </w:t>
      </w:r>
      <w:hyperlink r:id="rId15" w:tgtFrame="_blank" w:history="1">
        <w:r w:rsidRPr="00243483">
          <w:rPr>
            <w:rFonts w:ascii="Times New Roman" w:hAnsi="Times New Roman" w:cs="Times New Roman"/>
            <w:sz w:val="28"/>
            <w:szCs w:val="28"/>
            <w:lang w:val="en-US"/>
          </w:rPr>
          <w:t>http://www.eabr.org/r/research/centre/projectsCII/projects_cii/index.php?id_4=47862&amp;linked_block_id=0</w:t>
        </w:r>
      </w:hyperlink>
    </w:p>
    <w:p w:rsidR="00637AA6" w:rsidRDefault="00637AA6" w:rsidP="00243483">
      <w:pPr>
        <w:spacing w:after="0"/>
        <w:ind w:left="709" w:hanging="709"/>
        <w:jc w:val="both"/>
        <w:rPr>
          <w:rFonts w:ascii="Times New Roman" w:hAnsi="Times New Roman" w:cs="Times New Roman"/>
          <w:sz w:val="28"/>
          <w:szCs w:val="28"/>
          <w:lang w:val="en-US"/>
        </w:rPr>
      </w:pPr>
      <w:r w:rsidRPr="00C904AE">
        <w:rPr>
          <w:rFonts w:ascii="Times New Roman" w:hAnsi="Times New Roman" w:cs="Times New Roman"/>
          <w:sz w:val="28"/>
          <w:szCs w:val="28"/>
          <w:lang w:val="en-US"/>
        </w:rPr>
        <w:t>Doing Business 2015. Going Beyond Efficiency.</w:t>
      </w:r>
      <w:r>
        <w:rPr>
          <w:rFonts w:ascii="Times New Roman" w:hAnsi="Times New Roman" w:cs="Times New Roman"/>
          <w:sz w:val="28"/>
          <w:szCs w:val="28"/>
          <w:lang w:val="en-US"/>
        </w:rPr>
        <w:t xml:space="preserve"> </w:t>
      </w:r>
      <w:r w:rsidRPr="00C904AE">
        <w:rPr>
          <w:rFonts w:ascii="Times New Roman" w:hAnsi="Times New Roman" w:cs="Times New Roman"/>
          <w:sz w:val="28"/>
          <w:szCs w:val="28"/>
          <w:lang w:val="en-US"/>
        </w:rPr>
        <w:t>A World Bank Group Flagship Report</w:t>
      </w:r>
      <w:r>
        <w:rPr>
          <w:rFonts w:ascii="Times New Roman" w:hAnsi="Times New Roman" w:cs="Times New Roman"/>
          <w:sz w:val="28"/>
          <w:szCs w:val="28"/>
          <w:lang w:val="en-US"/>
        </w:rPr>
        <w:t xml:space="preserve">. </w:t>
      </w:r>
      <w:r w:rsidRPr="00C904AE">
        <w:rPr>
          <w:rFonts w:ascii="Times New Roman" w:hAnsi="Times New Roman" w:cs="Times New Roman"/>
          <w:sz w:val="28"/>
          <w:szCs w:val="28"/>
          <w:lang w:val="en-US"/>
        </w:rPr>
        <w:t>International Bank for Reconstruction and Development / The World Bank. 2015.</w:t>
      </w:r>
    </w:p>
    <w:p w:rsidR="00637AA6" w:rsidRDefault="00637AA6" w:rsidP="00243483">
      <w:pPr>
        <w:spacing w:after="0"/>
        <w:ind w:left="709" w:hanging="709"/>
        <w:jc w:val="both"/>
        <w:rPr>
          <w:rFonts w:ascii="Times New Roman" w:hAnsi="Times New Roman" w:cs="Times New Roman"/>
          <w:sz w:val="28"/>
          <w:szCs w:val="28"/>
          <w:lang w:val="en-US"/>
        </w:rPr>
      </w:pPr>
      <w:r>
        <w:rPr>
          <w:rFonts w:ascii="Times New Roman" w:hAnsi="Times New Roman" w:cs="Times New Roman"/>
          <w:sz w:val="28"/>
          <w:szCs w:val="28"/>
          <w:lang w:val="en-US"/>
        </w:rPr>
        <w:t>External and internal trade of the EAEU</w:t>
      </w:r>
      <w:r w:rsidRPr="00391140">
        <w:rPr>
          <w:rFonts w:ascii="Times New Roman" w:hAnsi="Times New Roman" w:cs="Times New Roman"/>
          <w:sz w:val="28"/>
          <w:szCs w:val="28"/>
          <w:lang w:val="en-US"/>
        </w:rPr>
        <w:t xml:space="preserve"> http://eec.eaeunion.org/ru/act/integr_i_makroec/dep_stat/tradestat/time_series/Pages/default.aspx</w:t>
      </w:r>
    </w:p>
    <w:p w:rsidR="00637AA6" w:rsidRPr="00600B52" w:rsidRDefault="00637AA6" w:rsidP="00243483">
      <w:pPr>
        <w:spacing w:after="0"/>
        <w:ind w:left="709" w:hanging="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Ministry of National Economy of the Republic of Kazakhstan. </w:t>
      </w:r>
      <w:r w:rsidRPr="003F1DE5">
        <w:rPr>
          <w:rFonts w:ascii="Times New Roman" w:hAnsi="Times New Roman" w:cs="Times New Roman"/>
          <w:sz w:val="28"/>
          <w:szCs w:val="28"/>
          <w:lang w:val="en-US"/>
        </w:rPr>
        <w:t>http://www.stat.gov.kz/</w:t>
      </w:r>
    </w:p>
    <w:p w:rsidR="00637AA6" w:rsidRDefault="00637AA6" w:rsidP="00243483">
      <w:pPr>
        <w:spacing w:after="0"/>
        <w:ind w:left="709" w:hanging="709"/>
        <w:jc w:val="both"/>
        <w:rPr>
          <w:rFonts w:ascii="Times New Roman" w:hAnsi="Times New Roman" w:cs="Times New Roman"/>
          <w:sz w:val="28"/>
          <w:szCs w:val="28"/>
          <w:lang w:val="en-US"/>
        </w:rPr>
      </w:pPr>
      <w:r>
        <w:rPr>
          <w:rFonts w:ascii="Times New Roman" w:hAnsi="Times New Roman" w:cs="Times New Roman"/>
          <w:sz w:val="28"/>
          <w:szCs w:val="28"/>
          <w:lang w:val="en-US"/>
        </w:rPr>
        <w:t>National</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Statistical</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Committee</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600B52">
        <w:rPr>
          <w:rFonts w:ascii="Times New Roman" w:hAnsi="Times New Roman" w:cs="Times New Roman"/>
          <w:sz w:val="28"/>
          <w:szCs w:val="28"/>
          <w:lang w:val="en-US"/>
        </w:rPr>
        <w:t xml:space="preserve"> </w:t>
      </w:r>
      <w:r>
        <w:rPr>
          <w:rFonts w:ascii="Times New Roman" w:hAnsi="Times New Roman" w:cs="Times New Roman"/>
          <w:sz w:val="28"/>
          <w:szCs w:val="28"/>
          <w:lang w:val="en-US"/>
        </w:rPr>
        <w:t>Belarus</w:t>
      </w:r>
      <w:r w:rsidRPr="00600B52">
        <w:rPr>
          <w:rFonts w:ascii="Times New Roman" w:hAnsi="Times New Roman" w:cs="Times New Roman"/>
          <w:sz w:val="28"/>
          <w:szCs w:val="28"/>
          <w:lang w:val="en-US"/>
        </w:rPr>
        <w:t xml:space="preserve">. </w:t>
      </w:r>
      <w:r w:rsidRPr="00BD5348">
        <w:rPr>
          <w:rFonts w:ascii="Times New Roman" w:hAnsi="Times New Roman" w:cs="Times New Roman"/>
          <w:sz w:val="28"/>
          <w:szCs w:val="28"/>
          <w:lang w:val="en-US"/>
        </w:rPr>
        <w:t>www</w:t>
      </w:r>
      <w:r w:rsidRPr="00600B52">
        <w:rPr>
          <w:rFonts w:ascii="Times New Roman" w:hAnsi="Times New Roman" w:cs="Times New Roman"/>
          <w:sz w:val="28"/>
          <w:szCs w:val="28"/>
          <w:lang w:val="en-US"/>
        </w:rPr>
        <w:t>.</w:t>
      </w:r>
      <w:r w:rsidRPr="00BD5348">
        <w:rPr>
          <w:rFonts w:ascii="Times New Roman" w:hAnsi="Times New Roman" w:cs="Times New Roman"/>
          <w:sz w:val="28"/>
          <w:szCs w:val="28"/>
          <w:lang w:val="en-US"/>
        </w:rPr>
        <w:t>belstat</w:t>
      </w:r>
      <w:r w:rsidRPr="00600B52">
        <w:rPr>
          <w:rFonts w:ascii="Times New Roman" w:hAnsi="Times New Roman" w:cs="Times New Roman"/>
          <w:sz w:val="28"/>
          <w:szCs w:val="28"/>
          <w:lang w:val="en-US"/>
        </w:rPr>
        <w:t>.</w:t>
      </w:r>
      <w:r w:rsidRPr="00BD5348">
        <w:rPr>
          <w:rFonts w:ascii="Times New Roman" w:hAnsi="Times New Roman" w:cs="Times New Roman"/>
          <w:sz w:val="28"/>
          <w:szCs w:val="28"/>
          <w:lang w:val="en-US"/>
        </w:rPr>
        <w:t>gov</w:t>
      </w:r>
      <w:r w:rsidRPr="00600B52">
        <w:rPr>
          <w:rFonts w:ascii="Times New Roman" w:hAnsi="Times New Roman" w:cs="Times New Roman"/>
          <w:sz w:val="28"/>
          <w:szCs w:val="28"/>
          <w:lang w:val="en-US"/>
        </w:rPr>
        <w:t>.</w:t>
      </w:r>
      <w:r w:rsidRPr="00BD5348">
        <w:rPr>
          <w:rFonts w:ascii="Times New Roman" w:hAnsi="Times New Roman" w:cs="Times New Roman"/>
          <w:sz w:val="28"/>
          <w:szCs w:val="28"/>
          <w:lang w:val="en-US"/>
        </w:rPr>
        <w:t>by</w:t>
      </w:r>
    </w:p>
    <w:p w:rsidR="00637AA6" w:rsidRDefault="00637AA6" w:rsidP="00243483">
      <w:pPr>
        <w:spacing w:after="0"/>
        <w:ind w:left="709" w:hanging="709"/>
        <w:jc w:val="both"/>
        <w:rPr>
          <w:rFonts w:ascii="Times New Roman" w:hAnsi="Times New Roman" w:cs="Times New Roman"/>
          <w:sz w:val="28"/>
          <w:szCs w:val="28"/>
          <w:lang w:val="en-US"/>
        </w:rPr>
      </w:pPr>
      <w:proofErr w:type="spellStart"/>
      <w:r w:rsidRPr="00600B52">
        <w:rPr>
          <w:rFonts w:ascii="Times New Roman" w:hAnsi="Times New Roman" w:cs="Times New Roman"/>
          <w:sz w:val="28"/>
          <w:szCs w:val="28"/>
          <w:lang w:val="en-US"/>
        </w:rPr>
        <w:t>Rakhimberdinova</w:t>
      </w:r>
      <w:proofErr w:type="spellEnd"/>
      <w:r w:rsidRPr="00600B52">
        <w:rPr>
          <w:rFonts w:ascii="Times New Roman" w:hAnsi="Times New Roman" w:cs="Times New Roman"/>
          <w:sz w:val="28"/>
          <w:szCs w:val="28"/>
          <w:lang w:val="en-US"/>
        </w:rPr>
        <w:t xml:space="preserve"> M. Analysis of the current stage of Kazakhstan’s transportation infrastructure. In: </w:t>
      </w:r>
      <w:proofErr w:type="spellStart"/>
      <w:r w:rsidRPr="00600B52">
        <w:rPr>
          <w:rFonts w:ascii="Times New Roman" w:hAnsi="Times New Roman" w:cs="Times New Roman"/>
          <w:sz w:val="28"/>
          <w:szCs w:val="28"/>
          <w:lang w:val="en-US"/>
        </w:rPr>
        <w:t>Mnogogrannost</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otsenki</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biznesa</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problemy</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i</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perspektivy</w:t>
      </w:r>
      <w:proofErr w:type="spellEnd"/>
      <w:r w:rsidRPr="00600B52">
        <w:rPr>
          <w:rFonts w:ascii="Times New Roman" w:hAnsi="Times New Roman" w:cs="Times New Roman"/>
          <w:sz w:val="28"/>
          <w:szCs w:val="28"/>
          <w:lang w:val="en-US"/>
        </w:rPr>
        <w:t xml:space="preserve"> v </w:t>
      </w:r>
      <w:proofErr w:type="spellStart"/>
      <w:r w:rsidRPr="00600B52">
        <w:rPr>
          <w:rFonts w:ascii="Times New Roman" w:hAnsi="Times New Roman" w:cs="Times New Roman"/>
          <w:sz w:val="28"/>
          <w:szCs w:val="28"/>
          <w:lang w:val="en-US"/>
        </w:rPr>
        <w:t>ysliviakh</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formirovania</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naukoemkoi</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economici</w:t>
      </w:r>
      <w:proofErr w:type="spellEnd"/>
      <w:r w:rsidRPr="00600B52">
        <w:rPr>
          <w:rFonts w:ascii="Times New Roman" w:hAnsi="Times New Roman" w:cs="Times New Roman"/>
          <w:sz w:val="28"/>
          <w:szCs w:val="28"/>
          <w:lang w:val="en-US"/>
        </w:rPr>
        <w:t xml:space="preserve">. </w:t>
      </w:r>
      <w:proofErr w:type="spellStart"/>
      <w:r w:rsidRPr="00600B52">
        <w:rPr>
          <w:rFonts w:ascii="Times New Roman" w:hAnsi="Times New Roman" w:cs="Times New Roman"/>
          <w:sz w:val="28"/>
          <w:szCs w:val="28"/>
          <w:lang w:val="en-US"/>
        </w:rPr>
        <w:t>Almaty</w:t>
      </w:r>
      <w:proofErr w:type="spellEnd"/>
      <w:r w:rsidRPr="00600B52">
        <w:rPr>
          <w:rFonts w:ascii="Times New Roman" w:hAnsi="Times New Roman" w:cs="Times New Roman"/>
          <w:sz w:val="28"/>
          <w:szCs w:val="28"/>
          <w:lang w:val="en-US"/>
        </w:rPr>
        <w:t>, 2014.</w:t>
      </w:r>
    </w:p>
    <w:p w:rsidR="00637AA6" w:rsidRDefault="00637AA6" w:rsidP="00243483">
      <w:pPr>
        <w:spacing w:after="0"/>
        <w:ind w:left="709" w:hanging="709"/>
        <w:jc w:val="both"/>
        <w:rPr>
          <w:rFonts w:ascii="Times New Roman" w:hAnsi="Times New Roman" w:cs="Times New Roman"/>
          <w:sz w:val="28"/>
          <w:szCs w:val="28"/>
          <w:lang w:val="en-US"/>
        </w:rPr>
      </w:pPr>
      <w:r w:rsidRPr="00600B52">
        <w:rPr>
          <w:rFonts w:ascii="Times New Roman" w:hAnsi="Times New Roman" w:cs="Times New Roman"/>
          <w:sz w:val="28"/>
          <w:szCs w:val="28"/>
          <w:lang w:val="en-US"/>
        </w:rPr>
        <w:t>Russian-Belarusian investment cooperation. Portal of external economic information. Ministry of Economic development of Russian Federation. ehttp://www.ved.gov.ru/exportcountries/by/by_ru_relations/by_rus_projects/</w:t>
      </w:r>
    </w:p>
    <w:p w:rsidR="00637AA6" w:rsidRDefault="00637AA6" w:rsidP="00243483">
      <w:pPr>
        <w:spacing w:after="0"/>
        <w:ind w:left="709" w:hanging="709"/>
        <w:jc w:val="both"/>
        <w:rPr>
          <w:rFonts w:ascii="Times New Roman" w:hAnsi="Times New Roman" w:cs="Times New Roman"/>
          <w:sz w:val="28"/>
          <w:szCs w:val="28"/>
          <w:lang w:val="en-US"/>
        </w:rPr>
      </w:pPr>
      <w:r w:rsidRPr="00D202AD">
        <w:rPr>
          <w:rFonts w:ascii="Times New Roman" w:hAnsi="Times New Roman" w:cs="Times New Roman"/>
          <w:i/>
          <w:iCs/>
          <w:sz w:val="28"/>
          <w:szCs w:val="28"/>
          <w:lang w:val="en-US"/>
        </w:rPr>
        <w:t>Sergei Sutyrin, Alexandra Koval, Olga Trofimenko</w:t>
      </w:r>
      <w:r>
        <w:rPr>
          <w:rFonts w:ascii="Times New Roman" w:hAnsi="Times New Roman" w:cs="Times New Roman"/>
          <w:i/>
          <w:iCs/>
          <w:sz w:val="28"/>
          <w:szCs w:val="28"/>
          <w:lang w:val="en-US"/>
        </w:rPr>
        <w:t>.</w:t>
      </w:r>
      <w:r w:rsidRPr="00D202AD">
        <w:rPr>
          <w:rFonts w:ascii="Times New Roman" w:hAnsi="Times New Roman" w:cs="Times New Roman"/>
          <w:i/>
          <w:iCs/>
          <w:sz w:val="28"/>
          <w:szCs w:val="28"/>
          <w:lang w:val="en-US"/>
        </w:rPr>
        <w:t xml:space="preserve"> </w:t>
      </w:r>
      <w:r w:rsidRPr="00D202AD">
        <w:rPr>
          <w:rFonts w:ascii="Times New Roman" w:hAnsi="Times New Roman" w:cs="Times New Roman"/>
          <w:sz w:val="28"/>
          <w:szCs w:val="28"/>
          <w:lang w:val="en-US"/>
        </w:rPr>
        <w:t xml:space="preserve">Integrating into the multilateral trading system and global value chains: the case of Russia. In: Connecting to global markets. Challenges and opportunities: case studies presented by WTO chair-holders. Ed. by Marion Jansen, Mustapha Sandi </w:t>
      </w:r>
      <w:proofErr w:type="spellStart"/>
      <w:r w:rsidRPr="00D202AD">
        <w:rPr>
          <w:rFonts w:ascii="Times New Roman" w:hAnsi="Times New Roman" w:cs="Times New Roman"/>
          <w:sz w:val="28"/>
          <w:szCs w:val="28"/>
          <w:lang w:val="en-US"/>
        </w:rPr>
        <w:t>Jallab</w:t>
      </w:r>
      <w:proofErr w:type="spellEnd"/>
      <w:r w:rsidRPr="00D202AD">
        <w:rPr>
          <w:rFonts w:ascii="Times New Roman" w:hAnsi="Times New Roman" w:cs="Times New Roman"/>
          <w:sz w:val="28"/>
          <w:szCs w:val="28"/>
          <w:lang w:val="en-US"/>
        </w:rPr>
        <w:t xml:space="preserve">, Maarten </w:t>
      </w:r>
      <w:proofErr w:type="spellStart"/>
      <w:r w:rsidRPr="00D202AD">
        <w:rPr>
          <w:rFonts w:ascii="Times New Roman" w:hAnsi="Times New Roman" w:cs="Times New Roman"/>
          <w:sz w:val="28"/>
          <w:szCs w:val="28"/>
          <w:lang w:val="en-US"/>
        </w:rPr>
        <w:t>Smeets</w:t>
      </w:r>
      <w:proofErr w:type="spellEnd"/>
      <w:r w:rsidRPr="00D202AD">
        <w:rPr>
          <w:rFonts w:ascii="Times New Roman" w:hAnsi="Times New Roman" w:cs="Times New Roman"/>
          <w:sz w:val="28"/>
          <w:szCs w:val="28"/>
          <w:lang w:val="en-US"/>
        </w:rPr>
        <w:t xml:space="preserve">. WTO Publications. Geneva. 2014. p.103-115. </w:t>
      </w:r>
      <w:hyperlink r:id="rId16" w:history="1">
        <w:r w:rsidRPr="00D202AD">
          <w:rPr>
            <w:rStyle w:val="a8"/>
            <w:rFonts w:ascii="Times New Roman" w:hAnsi="Times New Roman" w:cs="Times New Roman"/>
            <w:sz w:val="28"/>
            <w:szCs w:val="28"/>
            <w:lang w:val="en-US"/>
          </w:rPr>
          <w:t>http://www.wto.org/english/res_e/booksp_e/cmark_chap7_e.pdf</w:t>
        </w:r>
      </w:hyperlink>
      <w:r w:rsidRPr="00D202AD">
        <w:rPr>
          <w:rFonts w:ascii="Times New Roman" w:hAnsi="Times New Roman" w:cs="Times New Roman"/>
          <w:sz w:val="28"/>
          <w:szCs w:val="28"/>
          <w:lang w:val="en-US"/>
        </w:rPr>
        <w:t xml:space="preserve"> </w:t>
      </w:r>
    </w:p>
    <w:p w:rsidR="00637AA6" w:rsidRDefault="00637AA6" w:rsidP="00243483">
      <w:pPr>
        <w:spacing w:after="0"/>
        <w:ind w:left="709" w:hanging="709"/>
        <w:jc w:val="both"/>
        <w:rPr>
          <w:rFonts w:ascii="Times New Roman" w:hAnsi="Times New Roman" w:cs="Times New Roman"/>
          <w:sz w:val="28"/>
          <w:szCs w:val="28"/>
          <w:lang w:val="en-US"/>
        </w:rPr>
      </w:pPr>
      <w:r w:rsidRPr="00F22B57">
        <w:rPr>
          <w:rFonts w:ascii="Times New Roman" w:hAnsi="Times New Roman" w:cs="Times New Roman"/>
          <w:sz w:val="28"/>
          <w:szCs w:val="28"/>
          <w:lang w:val="en-US"/>
        </w:rPr>
        <w:t>Stephenson. S. Global Value Chains: The New Reality of International Trade. Strengthening the Global Trade System. ICTSD, December 2013.</w:t>
      </w:r>
    </w:p>
    <w:p w:rsidR="00637AA6" w:rsidRDefault="00637AA6" w:rsidP="00243483">
      <w:pPr>
        <w:spacing w:after="0"/>
        <w:ind w:left="709" w:hanging="709"/>
        <w:jc w:val="both"/>
        <w:rPr>
          <w:rFonts w:ascii="Times New Roman" w:hAnsi="Times New Roman" w:cs="Times New Roman"/>
          <w:sz w:val="28"/>
          <w:szCs w:val="28"/>
          <w:lang w:val="en-US"/>
        </w:rPr>
      </w:pPr>
      <w:r w:rsidRPr="00FB56A0">
        <w:rPr>
          <w:rFonts w:ascii="Times New Roman" w:hAnsi="Times New Roman" w:cs="Times New Roman"/>
          <w:sz w:val="28"/>
          <w:szCs w:val="28"/>
          <w:lang w:val="en-US"/>
        </w:rPr>
        <w:t>The Global Enabling</w:t>
      </w:r>
      <w:r>
        <w:rPr>
          <w:rFonts w:ascii="Times New Roman" w:hAnsi="Times New Roman" w:cs="Times New Roman"/>
          <w:sz w:val="28"/>
          <w:szCs w:val="28"/>
          <w:lang w:val="en-US"/>
        </w:rPr>
        <w:t xml:space="preserve"> </w:t>
      </w:r>
      <w:r w:rsidRPr="00FB56A0">
        <w:rPr>
          <w:rFonts w:ascii="Times New Roman" w:hAnsi="Times New Roman" w:cs="Times New Roman"/>
          <w:sz w:val="28"/>
          <w:szCs w:val="28"/>
          <w:lang w:val="en-US"/>
        </w:rPr>
        <w:t>Trade Report 2014</w:t>
      </w:r>
      <w:r>
        <w:rPr>
          <w:rFonts w:ascii="Times New Roman" w:hAnsi="Times New Roman" w:cs="Times New Roman"/>
          <w:sz w:val="28"/>
          <w:szCs w:val="28"/>
          <w:lang w:val="en-US"/>
        </w:rPr>
        <w:t xml:space="preserve">. Ed by. </w:t>
      </w:r>
      <w:r w:rsidRPr="00FB56A0">
        <w:rPr>
          <w:rFonts w:ascii="Times New Roman" w:hAnsi="Times New Roman" w:cs="Times New Roman"/>
          <w:sz w:val="28"/>
          <w:szCs w:val="28"/>
          <w:lang w:val="en-US"/>
        </w:rPr>
        <w:t>M</w:t>
      </w:r>
      <w:r>
        <w:rPr>
          <w:rFonts w:ascii="Times New Roman" w:hAnsi="Times New Roman" w:cs="Times New Roman"/>
          <w:sz w:val="28"/>
          <w:szCs w:val="28"/>
          <w:lang w:val="en-US"/>
        </w:rPr>
        <w:t>.D.</w:t>
      </w:r>
      <w:r w:rsidRPr="00FB56A0">
        <w:rPr>
          <w:rFonts w:ascii="Times New Roman" w:hAnsi="Times New Roman" w:cs="Times New Roman"/>
          <w:sz w:val="28"/>
          <w:szCs w:val="28"/>
          <w:lang w:val="en-US"/>
        </w:rPr>
        <w:t xml:space="preserve"> </w:t>
      </w:r>
      <w:proofErr w:type="spellStart"/>
      <w:r w:rsidRPr="00FB56A0">
        <w:rPr>
          <w:rFonts w:ascii="Times New Roman" w:hAnsi="Times New Roman" w:cs="Times New Roman"/>
          <w:sz w:val="28"/>
          <w:szCs w:val="28"/>
          <w:lang w:val="en-US"/>
        </w:rPr>
        <w:t>Hanou</w:t>
      </w:r>
      <w:r>
        <w:rPr>
          <w:rFonts w:ascii="Times New Roman" w:hAnsi="Times New Roman" w:cs="Times New Roman"/>
          <w:sz w:val="28"/>
          <w:szCs w:val="28"/>
          <w:lang w:val="en-US"/>
        </w:rPr>
        <w:t>z</w:t>
      </w:r>
      <w:proofErr w:type="spellEnd"/>
      <w:r>
        <w:rPr>
          <w:rFonts w:ascii="Times New Roman" w:hAnsi="Times New Roman" w:cs="Times New Roman"/>
          <w:sz w:val="28"/>
          <w:szCs w:val="28"/>
          <w:lang w:val="en-US"/>
        </w:rPr>
        <w:t>, Geiger</w:t>
      </w:r>
      <w:r w:rsidRPr="00FB56A0">
        <w:rPr>
          <w:rFonts w:ascii="Times New Roman" w:hAnsi="Times New Roman" w:cs="Times New Roman"/>
          <w:sz w:val="28"/>
          <w:szCs w:val="28"/>
          <w:lang w:val="en-US"/>
        </w:rPr>
        <w:t xml:space="preserve"> </w:t>
      </w:r>
      <w:r>
        <w:rPr>
          <w:rFonts w:ascii="Times New Roman" w:hAnsi="Times New Roman" w:cs="Times New Roman"/>
          <w:sz w:val="28"/>
          <w:szCs w:val="28"/>
          <w:lang w:val="en-US"/>
        </w:rPr>
        <w:t>T., and Doherty</w:t>
      </w:r>
      <w:r w:rsidRPr="00FB56A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 </w:t>
      </w:r>
      <w:r w:rsidRPr="00FB56A0">
        <w:rPr>
          <w:rFonts w:ascii="Times New Roman" w:hAnsi="Times New Roman" w:cs="Times New Roman"/>
          <w:sz w:val="28"/>
          <w:szCs w:val="28"/>
          <w:lang w:val="en-US"/>
        </w:rPr>
        <w:t>World Economic Forum</w:t>
      </w:r>
      <w:r>
        <w:rPr>
          <w:rFonts w:ascii="Times New Roman" w:hAnsi="Times New Roman" w:cs="Times New Roman"/>
          <w:sz w:val="28"/>
          <w:szCs w:val="28"/>
          <w:lang w:val="en-US"/>
        </w:rPr>
        <w:t xml:space="preserve">, </w:t>
      </w:r>
      <w:r w:rsidRPr="00FB56A0">
        <w:rPr>
          <w:rFonts w:ascii="Times New Roman" w:hAnsi="Times New Roman" w:cs="Times New Roman"/>
          <w:sz w:val="28"/>
          <w:szCs w:val="28"/>
          <w:lang w:val="en-US"/>
        </w:rPr>
        <w:t>2014</w:t>
      </w:r>
    </w:p>
    <w:p w:rsidR="00637AA6" w:rsidRDefault="00637AA6" w:rsidP="00243483">
      <w:pPr>
        <w:spacing w:after="0"/>
        <w:ind w:left="709" w:hanging="709"/>
        <w:jc w:val="both"/>
        <w:rPr>
          <w:rFonts w:ascii="Times New Roman" w:hAnsi="Times New Roman" w:cs="Times New Roman"/>
          <w:sz w:val="28"/>
          <w:szCs w:val="28"/>
          <w:lang w:val="en-US"/>
        </w:rPr>
      </w:pPr>
      <w:r w:rsidRPr="00600B52">
        <w:rPr>
          <w:rFonts w:ascii="Times New Roman" w:hAnsi="Times New Roman" w:cs="Times New Roman"/>
          <w:sz w:val="28"/>
          <w:szCs w:val="28"/>
          <w:lang w:val="en-US"/>
        </w:rPr>
        <w:t>Treaty on the Eurasian Economic Union.</w:t>
      </w:r>
    </w:p>
    <w:p w:rsidR="00C904AE" w:rsidRPr="00600B52" w:rsidRDefault="00C904AE" w:rsidP="00243483">
      <w:pPr>
        <w:spacing w:after="0"/>
        <w:rPr>
          <w:rFonts w:ascii="Times New Roman" w:hAnsi="Times New Roman" w:cs="Times New Roman"/>
          <w:sz w:val="28"/>
          <w:szCs w:val="28"/>
          <w:lang w:val="en-US"/>
        </w:rPr>
      </w:pPr>
    </w:p>
    <w:p w:rsidR="000401FE" w:rsidRPr="00600B52" w:rsidRDefault="000401FE" w:rsidP="00243483">
      <w:pPr>
        <w:spacing w:before="240" w:after="0"/>
        <w:rPr>
          <w:rFonts w:ascii="Times New Roman" w:hAnsi="Times New Roman" w:cs="Times New Roman"/>
          <w:sz w:val="28"/>
          <w:szCs w:val="28"/>
          <w:lang w:val="en-US"/>
        </w:rPr>
        <w:sectPr w:rsidR="000401FE" w:rsidRPr="00600B52" w:rsidSect="009D372E">
          <w:headerReference w:type="default" r:id="rId17"/>
          <w:pgSz w:w="11906" w:h="16838"/>
          <w:pgMar w:top="1134" w:right="850" w:bottom="1134" w:left="1701" w:header="708" w:footer="708" w:gutter="0"/>
          <w:cols w:space="708"/>
          <w:titlePg/>
          <w:docGrid w:linePitch="360"/>
        </w:sectPr>
      </w:pPr>
    </w:p>
    <w:p w:rsidR="000401FE" w:rsidRDefault="000401FE" w:rsidP="000401FE">
      <w:pPr>
        <w:spacing w:before="240"/>
        <w:rPr>
          <w:rFonts w:ascii="Times New Roman" w:hAnsi="Times New Roman" w:cs="Times New Roman"/>
          <w:sz w:val="28"/>
          <w:szCs w:val="28"/>
          <w:lang w:val="en-US"/>
        </w:rPr>
      </w:pPr>
      <w:r>
        <w:rPr>
          <w:rFonts w:ascii="Times New Roman" w:hAnsi="Times New Roman" w:cs="Times New Roman"/>
          <w:sz w:val="28"/>
          <w:szCs w:val="28"/>
          <w:lang w:val="en-US"/>
        </w:rPr>
        <w:lastRenderedPageBreak/>
        <w:t>Appendix 1</w:t>
      </w:r>
    </w:p>
    <w:p w:rsidR="000401FE" w:rsidRPr="003D2BB9" w:rsidRDefault="000401FE" w:rsidP="000401FE">
      <w:pPr>
        <w:spacing w:before="240"/>
        <w:rPr>
          <w:rFonts w:ascii="Times New Roman" w:hAnsi="Times New Roman" w:cs="Times New Roman"/>
          <w:sz w:val="28"/>
          <w:szCs w:val="28"/>
          <w:lang w:val="en-US"/>
        </w:rPr>
      </w:pPr>
      <w:r>
        <w:rPr>
          <w:rFonts w:ascii="Times New Roman" w:hAnsi="Times New Roman" w:cs="Times New Roman"/>
          <w:sz w:val="28"/>
          <w:szCs w:val="28"/>
          <w:lang w:val="en-US"/>
        </w:rPr>
        <w:t>FDI inflows and outflows in EAEU countries, total and from EAEU members</w:t>
      </w:r>
      <w:r>
        <w:rPr>
          <w:rFonts w:ascii="Times New Roman" w:hAnsi="Times New Roman" w:cs="Times New Roman"/>
          <w:sz w:val="28"/>
          <w:szCs w:val="28"/>
          <w:lang w:val="en-US"/>
        </w:rPr>
        <w:br/>
        <w:t>UDS million and shares</w:t>
      </w:r>
    </w:p>
    <w:tbl>
      <w:tblPr>
        <w:tblW w:w="14394" w:type="dxa"/>
        <w:tblInd w:w="98" w:type="dxa"/>
        <w:tblLook w:val="04A0"/>
      </w:tblPr>
      <w:tblGrid>
        <w:gridCol w:w="3838"/>
        <w:gridCol w:w="1134"/>
        <w:gridCol w:w="1275"/>
        <w:gridCol w:w="1276"/>
        <w:gridCol w:w="1271"/>
        <w:gridCol w:w="1400"/>
        <w:gridCol w:w="1400"/>
        <w:gridCol w:w="1400"/>
        <w:gridCol w:w="1400"/>
      </w:tblGrid>
      <w:tr w:rsidR="000401FE" w:rsidRPr="005D2896" w:rsidTr="000E523D">
        <w:trPr>
          <w:trHeight w:val="315"/>
        </w:trPr>
        <w:tc>
          <w:tcPr>
            <w:tcW w:w="3838"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val="en-US" w:eastAsia="ru-RU"/>
              </w:rPr>
            </w:pPr>
            <w:r w:rsidRPr="005D2896">
              <w:rPr>
                <w:rFonts w:ascii="Times New Roman" w:eastAsia="Times New Roman" w:hAnsi="Times New Roman" w:cs="Times New Roman"/>
                <w:color w:val="000000"/>
                <w:sz w:val="24"/>
                <w:szCs w:val="24"/>
                <w:lang w:val="en-US" w:eastAsia="ru-RU"/>
              </w:rPr>
              <w:t> </w:t>
            </w:r>
          </w:p>
        </w:tc>
        <w:tc>
          <w:tcPr>
            <w:tcW w:w="4956" w:type="dxa"/>
            <w:gridSpan w:val="4"/>
            <w:tcBorders>
              <w:top w:val="single" w:sz="8" w:space="0" w:color="auto"/>
              <w:left w:val="nil"/>
              <w:bottom w:val="single" w:sz="4" w:space="0" w:color="auto"/>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val="en-US" w:eastAsia="ru-RU"/>
              </w:rPr>
              <w:t>FDI inflows</w:t>
            </w:r>
          </w:p>
        </w:tc>
        <w:tc>
          <w:tcPr>
            <w:tcW w:w="5600" w:type="dxa"/>
            <w:gridSpan w:val="4"/>
            <w:tcBorders>
              <w:top w:val="single" w:sz="8" w:space="0" w:color="auto"/>
              <w:left w:val="nil"/>
              <w:bottom w:val="single" w:sz="4" w:space="0" w:color="auto"/>
              <w:right w:val="single" w:sz="8" w:space="0" w:color="000000"/>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val="en-US" w:eastAsia="ru-RU"/>
              </w:rPr>
              <w:t>FDI outflows</w:t>
            </w:r>
          </w:p>
        </w:tc>
      </w:tr>
      <w:tr w:rsidR="000401FE" w:rsidRPr="005D2896" w:rsidTr="000E523D">
        <w:trPr>
          <w:trHeight w:val="330"/>
        </w:trPr>
        <w:tc>
          <w:tcPr>
            <w:tcW w:w="3838" w:type="dxa"/>
            <w:vMerge/>
            <w:tcBorders>
              <w:top w:val="single" w:sz="8" w:space="0" w:color="auto"/>
              <w:left w:val="single" w:sz="8" w:space="0" w:color="auto"/>
              <w:bottom w:val="single" w:sz="4" w:space="0" w:color="auto"/>
              <w:right w:val="single" w:sz="4" w:space="0" w:color="auto"/>
            </w:tcBorders>
            <w:vAlign w:val="center"/>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p>
        </w:tc>
        <w:tc>
          <w:tcPr>
            <w:tcW w:w="1134" w:type="dxa"/>
            <w:tcBorders>
              <w:top w:val="nil"/>
              <w:left w:val="nil"/>
              <w:bottom w:val="nil"/>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2011</w:t>
            </w:r>
          </w:p>
        </w:tc>
        <w:tc>
          <w:tcPr>
            <w:tcW w:w="1275" w:type="dxa"/>
            <w:tcBorders>
              <w:top w:val="nil"/>
              <w:left w:val="nil"/>
              <w:bottom w:val="nil"/>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2012</w:t>
            </w:r>
          </w:p>
        </w:tc>
        <w:tc>
          <w:tcPr>
            <w:tcW w:w="1276" w:type="dxa"/>
            <w:tcBorders>
              <w:top w:val="nil"/>
              <w:left w:val="nil"/>
              <w:bottom w:val="nil"/>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2013</w:t>
            </w:r>
          </w:p>
        </w:tc>
        <w:tc>
          <w:tcPr>
            <w:tcW w:w="1271" w:type="dxa"/>
            <w:tcBorders>
              <w:top w:val="nil"/>
              <w:left w:val="nil"/>
              <w:bottom w:val="nil"/>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2014</w:t>
            </w:r>
          </w:p>
        </w:tc>
        <w:tc>
          <w:tcPr>
            <w:tcW w:w="1400" w:type="dxa"/>
            <w:tcBorders>
              <w:top w:val="nil"/>
              <w:left w:val="nil"/>
              <w:bottom w:val="nil"/>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2011</w:t>
            </w:r>
          </w:p>
        </w:tc>
        <w:tc>
          <w:tcPr>
            <w:tcW w:w="1400" w:type="dxa"/>
            <w:tcBorders>
              <w:top w:val="nil"/>
              <w:left w:val="nil"/>
              <w:bottom w:val="nil"/>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2012</w:t>
            </w:r>
          </w:p>
        </w:tc>
        <w:tc>
          <w:tcPr>
            <w:tcW w:w="1400" w:type="dxa"/>
            <w:tcBorders>
              <w:top w:val="nil"/>
              <w:left w:val="nil"/>
              <w:bottom w:val="nil"/>
              <w:right w:val="single" w:sz="4"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2013</w:t>
            </w:r>
          </w:p>
        </w:tc>
        <w:tc>
          <w:tcPr>
            <w:tcW w:w="1400" w:type="dxa"/>
            <w:tcBorders>
              <w:top w:val="nil"/>
              <w:left w:val="nil"/>
              <w:bottom w:val="nil"/>
              <w:right w:val="single" w:sz="8" w:space="0" w:color="auto"/>
            </w:tcBorders>
            <w:shd w:val="clear" w:color="000000" w:fill="DBEEF3"/>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2014</w:t>
            </w:r>
          </w:p>
        </w:tc>
      </w:tr>
      <w:tr w:rsidR="000401FE" w:rsidRPr="00434498" w:rsidTr="000E523D">
        <w:trPr>
          <w:trHeight w:val="315"/>
        </w:trPr>
        <w:tc>
          <w:tcPr>
            <w:tcW w:w="383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rPr>
                <w:rFonts w:ascii="Times New Roman" w:eastAsia="Times New Roman" w:hAnsi="Times New Roman" w:cs="Times New Roman"/>
                <w:b/>
                <w:color w:val="000000"/>
                <w:sz w:val="24"/>
                <w:szCs w:val="24"/>
                <w:lang w:eastAsia="ru-RU"/>
              </w:rPr>
            </w:pPr>
            <w:proofErr w:type="spellStart"/>
            <w:r w:rsidRPr="00434498">
              <w:rPr>
                <w:rFonts w:ascii="Times New Roman" w:eastAsia="Times New Roman" w:hAnsi="Times New Roman" w:cs="Times New Roman"/>
                <w:b/>
                <w:color w:val="000000"/>
                <w:sz w:val="24"/>
                <w:szCs w:val="24"/>
                <w:lang w:eastAsia="ru-RU"/>
              </w:rPr>
              <w:t>Belarus</w:t>
            </w:r>
            <w:proofErr w:type="spellEnd"/>
            <w:r w:rsidRPr="00434498">
              <w:rPr>
                <w:rFonts w:ascii="Times New Roman" w:eastAsia="Times New Roman" w:hAnsi="Times New Roman" w:cs="Times New Roman"/>
                <w:b/>
                <w:color w:val="000000"/>
                <w:sz w:val="24"/>
                <w:szCs w:val="24"/>
                <w:lang w:eastAsia="ru-RU"/>
              </w:rPr>
              <w:t xml:space="preserve"> </w:t>
            </w:r>
            <w:proofErr w:type="spellStart"/>
            <w:r w:rsidRPr="00434498">
              <w:rPr>
                <w:rFonts w:ascii="Times New Roman" w:eastAsia="Times New Roman" w:hAnsi="Times New Roman" w:cs="Times New Roman"/>
                <w:b/>
                <w:color w:val="000000"/>
                <w:sz w:val="24"/>
                <w:szCs w:val="24"/>
                <w:lang w:eastAsia="ru-RU"/>
              </w:rPr>
              <w:t>Total</w:t>
            </w:r>
            <w:proofErr w:type="spellEnd"/>
            <w:r w:rsidRPr="00434498">
              <w:rPr>
                <w:rFonts w:ascii="Times New Roman" w:eastAsia="Times New Roman" w:hAnsi="Times New Roman" w:cs="Times New Roman"/>
                <w:b/>
                <w:color w:val="000000"/>
                <w:sz w:val="24"/>
                <w:szCs w:val="24"/>
                <w:lang w:eastAsia="ru-RU"/>
              </w:rPr>
              <w:t xml:space="preserve">, USD </w:t>
            </w:r>
            <w:proofErr w:type="spellStart"/>
            <w:r w:rsidRPr="00434498">
              <w:rPr>
                <w:rFonts w:ascii="Times New Roman" w:eastAsia="Times New Roman" w:hAnsi="Times New Roman" w:cs="Times New Roman"/>
                <w:b/>
                <w:color w:val="000000"/>
                <w:sz w:val="24"/>
                <w:szCs w:val="24"/>
                <w:lang w:eastAsia="ru-RU"/>
              </w:rPr>
              <w:t>million</w:t>
            </w:r>
            <w:proofErr w:type="spellEnd"/>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4 002,4</w:t>
            </w:r>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1 463,6</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2 246,1</w:t>
            </w:r>
          </w:p>
        </w:tc>
        <w:tc>
          <w:tcPr>
            <w:tcW w:w="1271" w:type="dxa"/>
            <w:tcBorders>
              <w:top w:val="single" w:sz="8" w:space="0" w:color="auto"/>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1 832,6</w:t>
            </w:r>
          </w:p>
        </w:tc>
        <w:tc>
          <w:tcPr>
            <w:tcW w:w="1400" w:type="dxa"/>
            <w:tcBorders>
              <w:top w:val="single" w:sz="8" w:space="0" w:color="auto"/>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125,5</w:t>
            </w:r>
          </w:p>
        </w:tc>
        <w:tc>
          <w:tcPr>
            <w:tcW w:w="1400" w:type="dxa"/>
            <w:tcBorders>
              <w:top w:val="single" w:sz="8" w:space="0" w:color="auto"/>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155,5</w:t>
            </w:r>
          </w:p>
        </w:tc>
        <w:tc>
          <w:tcPr>
            <w:tcW w:w="1400" w:type="dxa"/>
            <w:tcBorders>
              <w:top w:val="single" w:sz="8" w:space="0" w:color="auto"/>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262,2</w:t>
            </w:r>
          </w:p>
        </w:tc>
        <w:tc>
          <w:tcPr>
            <w:tcW w:w="1400" w:type="dxa"/>
            <w:tcBorders>
              <w:top w:val="single" w:sz="8" w:space="0" w:color="auto"/>
              <w:left w:val="nil"/>
              <w:bottom w:val="single" w:sz="4" w:space="0" w:color="auto"/>
              <w:right w:val="single" w:sz="8"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33,5</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From/to </w:t>
            </w:r>
            <w:r w:rsidRPr="004A7235">
              <w:rPr>
                <w:rFonts w:ascii="Times New Roman" w:eastAsia="Times New Roman" w:hAnsi="Times New Roman" w:cs="Times New Roman"/>
                <w:color w:val="000000"/>
                <w:sz w:val="24"/>
                <w:szCs w:val="24"/>
                <w:lang w:val="en-US" w:eastAsia="ru-RU"/>
              </w:rPr>
              <w:t>Kazakhstan,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1,8</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1,9</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2,7</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4,2</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1,0</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0,6</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0,2</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0,5</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From/to </w:t>
            </w:r>
            <w:proofErr w:type="spellStart"/>
            <w:r w:rsidRPr="005D2896">
              <w:rPr>
                <w:rFonts w:ascii="Times New Roman" w:eastAsia="Times New Roman" w:hAnsi="Times New Roman" w:cs="Times New Roman"/>
                <w:color w:val="000000"/>
                <w:sz w:val="24"/>
                <w:szCs w:val="24"/>
                <w:lang w:eastAsia="ru-RU"/>
              </w:rPr>
              <w:t>Kazakhstan</w:t>
            </w:r>
            <w:proofErr w:type="spellEnd"/>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0,1</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0,1</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0,2</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0,8</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0,4</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0,1</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1,5</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From/to </w:t>
            </w:r>
            <w:r w:rsidRPr="004A7235">
              <w:rPr>
                <w:rFonts w:ascii="Times New Roman" w:eastAsia="Times New Roman" w:hAnsi="Times New Roman" w:cs="Times New Roman"/>
                <w:color w:val="000000"/>
                <w:sz w:val="24"/>
                <w:szCs w:val="24"/>
                <w:lang w:val="en-US" w:eastAsia="ru-RU"/>
              </w:rPr>
              <w:t>Russia,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2 819,6</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469,9</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862,8</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546,8</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119,4</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110,3</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219,3</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19,6</w:t>
            </w:r>
          </w:p>
        </w:tc>
      </w:tr>
      <w:tr w:rsidR="000401FE" w:rsidRPr="005D2896" w:rsidTr="000E523D">
        <w:trPr>
          <w:trHeight w:val="330"/>
        </w:trPr>
        <w:tc>
          <w:tcPr>
            <w:tcW w:w="3838" w:type="dxa"/>
            <w:tcBorders>
              <w:top w:val="nil"/>
              <w:left w:val="single" w:sz="8" w:space="0" w:color="auto"/>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From/to </w:t>
            </w:r>
            <w:proofErr w:type="spellStart"/>
            <w:r w:rsidRPr="005D2896">
              <w:rPr>
                <w:rFonts w:ascii="Times New Roman" w:eastAsia="Times New Roman" w:hAnsi="Times New Roman" w:cs="Times New Roman"/>
                <w:color w:val="000000"/>
                <w:sz w:val="24"/>
                <w:szCs w:val="24"/>
                <w:lang w:eastAsia="ru-RU"/>
              </w:rPr>
              <w:t>Russia</w:t>
            </w:r>
            <w:proofErr w:type="spellEnd"/>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70,4</w:t>
            </w:r>
          </w:p>
        </w:tc>
        <w:tc>
          <w:tcPr>
            <w:tcW w:w="1275"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32,1</w:t>
            </w:r>
          </w:p>
        </w:tc>
        <w:tc>
          <w:tcPr>
            <w:tcW w:w="1276"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38,4</w:t>
            </w:r>
          </w:p>
        </w:tc>
        <w:tc>
          <w:tcPr>
            <w:tcW w:w="1271"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29,8</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95,1</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70,9</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83,6</w:t>
            </w:r>
          </w:p>
        </w:tc>
        <w:tc>
          <w:tcPr>
            <w:tcW w:w="1400" w:type="dxa"/>
            <w:tcBorders>
              <w:top w:val="nil"/>
              <w:left w:val="nil"/>
              <w:bottom w:val="single" w:sz="8" w:space="0" w:color="auto"/>
              <w:right w:val="single" w:sz="8"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58,5</w:t>
            </w:r>
          </w:p>
        </w:tc>
      </w:tr>
      <w:tr w:rsidR="000401FE" w:rsidRPr="00434498"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rPr>
                <w:rFonts w:ascii="Times New Roman" w:eastAsia="Times New Roman" w:hAnsi="Times New Roman" w:cs="Times New Roman"/>
                <w:b/>
                <w:color w:val="000000"/>
                <w:sz w:val="24"/>
                <w:szCs w:val="24"/>
                <w:lang w:eastAsia="ru-RU"/>
              </w:rPr>
            </w:pPr>
            <w:proofErr w:type="spellStart"/>
            <w:r w:rsidRPr="00434498">
              <w:rPr>
                <w:rFonts w:ascii="Times New Roman" w:eastAsia="Times New Roman" w:hAnsi="Times New Roman" w:cs="Times New Roman"/>
                <w:b/>
                <w:color w:val="000000"/>
                <w:sz w:val="24"/>
                <w:szCs w:val="24"/>
                <w:lang w:eastAsia="ru-RU"/>
              </w:rPr>
              <w:t>Kazakhstan</w:t>
            </w:r>
            <w:proofErr w:type="spellEnd"/>
            <w:r w:rsidRPr="00434498">
              <w:rPr>
                <w:rFonts w:ascii="Times New Roman" w:eastAsia="Times New Roman" w:hAnsi="Times New Roman" w:cs="Times New Roman"/>
                <w:b/>
                <w:color w:val="000000"/>
                <w:sz w:val="24"/>
                <w:szCs w:val="24"/>
                <w:lang w:eastAsia="ru-RU"/>
              </w:rPr>
              <w:t xml:space="preserve"> </w:t>
            </w:r>
            <w:proofErr w:type="spellStart"/>
            <w:r w:rsidRPr="00434498">
              <w:rPr>
                <w:rFonts w:ascii="Times New Roman" w:eastAsia="Times New Roman" w:hAnsi="Times New Roman" w:cs="Times New Roman"/>
                <w:b/>
                <w:color w:val="000000"/>
                <w:sz w:val="24"/>
                <w:szCs w:val="24"/>
                <w:lang w:eastAsia="ru-RU"/>
              </w:rPr>
              <w:t>Total</w:t>
            </w:r>
            <w:proofErr w:type="spellEnd"/>
            <w:r w:rsidRPr="00434498">
              <w:rPr>
                <w:rFonts w:ascii="Times New Roman" w:eastAsia="Times New Roman" w:hAnsi="Times New Roman" w:cs="Times New Roman"/>
                <w:b/>
                <w:color w:val="000000"/>
                <w:sz w:val="24"/>
                <w:szCs w:val="24"/>
                <w:lang w:eastAsia="ru-RU"/>
              </w:rPr>
              <w:t xml:space="preserve">, USD </w:t>
            </w:r>
            <w:proofErr w:type="spellStart"/>
            <w:r w:rsidRPr="00434498">
              <w:rPr>
                <w:rFonts w:ascii="Times New Roman" w:eastAsia="Times New Roman" w:hAnsi="Times New Roman" w:cs="Times New Roman"/>
                <w:b/>
                <w:color w:val="000000"/>
                <w:sz w:val="24"/>
                <w:szCs w:val="24"/>
                <w:lang w:eastAsia="ru-RU"/>
              </w:rPr>
              <w:t>million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13 760,3</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13 648,1</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9 946,8</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7 597,7</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5 177,6</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1 792,3</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2 012,4</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1 660,0</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From/to </w:t>
            </w:r>
            <w:r w:rsidRPr="004A7235">
              <w:rPr>
                <w:rFonts w:ascii="Times New Roman" w:eastAsia="Times New Roman" w:hAnsi="Times New Roman" w:cs="Times New Roman"/>
                <w:color w:val="000000"/>
                <w:sz w:val="24"/>
                <w:szCs w:val="24"/>
                <w:lang w:val="en-US" w:eastAsia="ru-RU"/>
              </w:rPr>
              <w:t>Belarus,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85,8</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122,5</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165,0</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3,6</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0,9</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From/to </w:t>
            </w:r>
            <w:proofErr w:type="spellStart"/>
            <w:r w:rsidRPr="005D2896">
              <w:rPr>
                <w:rFonts w:ascii="Times New Roman" w:eastAsia="Times New Roman" w:hAnsi="Times New Roman" w:cs="Times New Roman"/>
                <w:color w:val="000000"/>
                <w:sz w:val="24"/>
                <w:szCs w:val="24"/>
                <w:lang w:eastAsia="ru-RU"/>
              </w:rPr>
              <w:t>Belarus</w:t>
            </w:r>
            <w:proofErr w:type="spellEnd"/>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0,6</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0,9</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1,7</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0,0</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0,0</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From/to </w:t>
            </w:r>
            <w:r w:rsidRPr="004A7235">
              <w:rPr>
                <w:rFonts w:ascii="Times New Roman" w:eastAsia="Times New Roman" w:hAnsi="Times New Roman" w:cs="Times New Roman"/>
                <w:color w:val="000000"/>
                <w:sz w:val="24"/>
                <w:szCs w:val="24"/>
                <w:lang w:val="en-US" w:eastAsia="ru-RU"/>
              </w:rPr>
              <w:t>Russia,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1 000,1</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1 069,5</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1 299,2</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506,4</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182,8</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49,6</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189,0</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5D2896" w:rsidTr="000E523D">
        <w:trPr>
          <w:trHeight w:val="330"/>
        </w:trPr>
        <w:tc>
          <w:tcPr>
            <w:tcW w:w="3838" w:type="dxa"/>
            <w:tcBorders>
              <w:top w:val="nil"/>
              <w:left w:val="single" w:sz="8" w:space="0" w:color="auto"/>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From/to </w:t>
            </w:r>
            <w:proofErr w:type="spellStart"/>
            <w:r w:rsidRPr="005D2896">
              <w:rPr>
                <w:rFonts w:ascii="Times New Roman" w:eastAsia="Times New Roman" w:hAnsi="Times New Roman" w:cs="Times New Roman"/>
                <w:color w:val="000000"/>
                <w:sz w:val="24"/>
                <w:szCs w:val="24"/>
                <w:lang w:eastAsia="ru-RU"/>
              </w:rPr>
              <w:t>Russia</w:t>
            </w:r>
            <w:proofErr w:type="spellEnd"/>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7,3</w:t>
            </w:r>
          </w:p>
        </w:tc>
        <w:tc>
          <w:tcPr>
            <w:tcW w:w="1275"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7,8</w:t>
            </w:r>
          </w:p>
        </w:tc>
        <w:tc>
          <w:tcPr>
            <w:tcW w:w="1276"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13,1</w:t>
            </w:r>
          </w:p>
        </w:tc>
        <w:tc>
          <w:tcPr>
            <w:tcW w:w="1271"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6,7</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3,5</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2,8</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9,4</w:t>
            </w:r>
          </w:p>
        </w:tc>
        <w:tc>
          <w:tcPr>
            <w:tcW w:w="1400" w:type="dxa"/>
            <w:tcBorders>
              <w:top w:val="nil"/>
              <w:left w:val="nil"/>
              <w:bottom w:val="single" w:sz="8"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434498"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rPr>
                <w:rFonts w:ascii="Times New Roman" w:eastAsia="Times New Roman" w:hAnsi="Times New Roman" w:cs="Times New Roman"/>
                <w:b/>
                <w:color w:val="000000"/>
                <w:sz w:val="24"/>
                <w:szCs w:val="24"/>
                <w:lang w:eastAsia="ru-RU"/>
              </w:rPr>
            </w:pPr>
            <w:proofErr w:type="spellStart"/>
            <w:r w:rsidRPr="00434498">
              <w:rPr>
                <w:rFonts w:ascii="Times New Roman" w:eastAsia="Times New Roman" w:hAnsi="Times New Roman" w:cs="Times New Roman"/>
                <w:b/>
                <w:color w:val="000000"/>
                <w:sz w:val="24"/>
                <w:szCs w:val="24"/>
                <w:lang w:eastAsia="ru-RU"/>
              </w:rPr>
              <w:t>Russia</w:t>
            </w:r>
            <w:proofErr w:type="spellEnd"/>
            <w:r w:rsidRPr="00434498">
              <w:rPr>
                <w:rFonts w:ascii="Times New Roman" w:eastAsia="Times New Roman" w:hAnsi="Times New Roman" w:cs="Times New Roman"/>
                <w:b/>
                <w:color w:val="000000"/>
                <w:sz w:val="24"/>
                <w:szCs w:val="24"/>
                <w:lang w:eastAsia="ru-RU"/>
              </w:rPr>
              <w:t xml:space="preserve"> </w:t>
            </w:r>
            <w:proofErr w:type="spellStart"/>
            <w:r w:rsidRPr="00434498">
              <w:rPr>
                <w:rFonts w:ascii="Times New Roman" w:eastAsia="Times New Roman" w:hAnsi="Times New Roman" w:cs="Times New Roman"/>
                <w:b/>
                <w:color w:val="000000"/>
                <w:sz w:val="24"/>
                <w:szCs w:val="24"/>
                <w:lang w:eastAsia="ru-RU"/>
              </w:rPr>
              <w:t>Total</w:t>
            </w:r>
            <w:proofErr w:type="spellEnd"/>
            <w:r w:rsidRPr="00434498">
              <w:rPr>
                <w:rFonts w:ascii="Times New Roman" w:eastAsia="Times New Roman" w:hAnsi="Times New Roman" w:cs="Times New Roman"/>
                <w:b/>
                <w:color w:val="000000"/>
                <w:sz w:val="24"/>
                <w:szCs w:val="24"/>
                <w:lang w:eastAsia="ru-RU"/>
              </w:rPr>
              <w:t xml:space="preserve">, USD </w:t>
            </w:r>
            <w:proofErr w:type="spellStart"/>
            <w:r w:rsidRPr="00434498">
              <w:rPr>
                <w:rFonts w:ascii="Times New Roman" w:eastAsia="Times New Roman" w:hAnsi="Times New Roman" w:cs="Times New Roman"/>
                <w:b/>
                <w:color w:val="000000"/>
                <w:sz w:val="24"/>
                <w:szCs w:val="24"/>
                <w:lang w:eastAsia="ru-RU"/>
              </w:rPr>
              <w:t>million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55 083,6</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50 587,6</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69 218,9</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20 957,7</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66 850,8</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48 822,4</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86 506,5</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56 438,0</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From/to </w:t>
            </w:r>
            <w:r w:rsidRPr="004A7235">
              <w:rPr>
                <w:rFonts w:ascii="Times New Roman" w:eastAsia="Times New Roman" w:hAnsi="Times New Roman" w:cs="Times New Roman"/>
                <w:color w:val="000000"/>
                <w:sz w:val="24"/>
                <w:szCs w:val="24"/>
                <w:lang w:val="en-US" w:eastAsia="ru-RU"/>
              </w:rPr>
              <w:t>Belarus,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121,1</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141,5</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230,6</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2 819,2</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593,3</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867,1</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From/to </w:t>
            </w:r>
            <w:proofErr w:type="spellStart"/>
            <w:r w:rsidRPr="005D2896">
              <w:rPr>
                <w:rFonts w:ascii="Times New Roman" w:eastAsia="Times New Roman" w:hAnsi="Times New Roman" w:cs="Times New Roman"/>
                <w:color w:val="000000"/>
                <w:sz w:val="24"/>
                <w:szCs w:val="24"/>
                <w:lang w:eastAsia="ru-RU"/>
              </w:rPr>
              <w:t>Belarus</w:t>
            </w:r>
            <w:proofErr w:type="spellEnd"/>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0,2</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0,3</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0,3</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4,2</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1,0</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From/to </w:t>
            </w:r>
            <w:r w:rsidRPr="004A7235">
              <w:rPr>
                <w:rFonts w:ascii="Times New Roman" w:eastAsia="Times New Roman" w:hAnsi="Times New Roman" w:cs="Times New Roman"/>
                <w:color w:val="000000"/>
                <w:sz w:val="24"/>
                <w:szCs w:val="24"/>
                <w:lang w:val="en-US" w:eastAsia="ru-RU"/>
              </w:rPr>
              <w:t>Kazakhstan,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55,8</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274,2</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200,7</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674,2</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844,5</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670,8</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5D2896" w:rsidTr="000E523D">
        <w:trPr>
          <w:trHeight w:val="330"/>
        </w:trPr>
        <w:tc>
          <w:tcPr>
            <w:tcW w:w="3838" w:type="dxa"/>
            <w:tcBorders>
              <w:top w:val="nil"/>
              <w:left w:val="single" w:sz="8" w:space="0" w:color="auto"/>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From/to </w:t>
            </w:r>
            <w:proofErr w:type="spellStart"/>
            <w:r w:rsidRPr="005D2896">
              <w:rPr>
                <w:rFonts w:ascii="Times New Roman" w:eastAsia="Times New Roman" w:hAnsi="Times New Roman" w:cs="Times New Roman"/>
                <w:color w:val="000000"/>
                <w:sz w:val="24"/>
                <w:szCs w:val="24"/>
                <w:lang w:eastAsia="ru-RU"/>
              </w:rPr>
              <w:t>Kazakhstan</w:t>
            </w:r>
            <w:proofErr w:type="spellEnd"/>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0,1</w:t>
            </w:r>
          </w:p>
        </w:tc>
        <w:tc>
          <w:tcPr>
            <w:tcW w:w="1275"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0,5</w:t>
            </w:r>
          </w:p>
        </w:tc>
        <w:tc>
          <w:tcPr>
            <w:tcW w:w="1276"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0,3</w:t>
            </w:r>
          </w:p>
        </w:tc>
        <w:tc>
          <w:tcPr>
            <w:tcW w:w="1271"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1,0</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1,7</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0,8</w:t>
            </w:r>
          </w:p>
        </w:tc>
        <w:tc>
          <w:tcPr>
            <w:tcW w:w="1400" w:type="dxa"/>
            <w:tcBorders>
              <w:top w:val="nil"/>
              <w:left w:val="nil"/>
              <w:bottom w:val="single" w:sz="8" w:space="0" w:color="auto"/>
              <w:right w:val="single" w:sz="8"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r>
      <w:tr w:rsidR="000401FE" w:rsidRPr="00434498"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rPr>
                <w:rFonts w:ascii="Times New Roman" w:eastAsia="Times New Roman" w:hAnsi="Times New Roman" w:cs="Times New Roman"/>
                <w:b/>
                <w:color w:val="000000"/>
                <w:sz w:val="24"/>
                <w:szCs w:val="24"/>
                <w:lang w:val="en-US" w:eastAsia="ru-RU"/>
              </w:rPr>
            </w:pPr>
            <w:r w:rsidRPr="00434498">
              <w:rPr>
                <w:rFonts w:ascii="Times New Roman" w:eastAsia="Times New Roman" w:hAnsi="Times New Roman" w:cs="Times New Roman"/>
                <w:b/>
                <w:color w:val="000000"/>
                <w:sz w:val="24"/>
                <w:szCs w:val="24"/>
                <w:lang w:val="en-US" w:eastAsia="ru-RU"/>
              </w:rPr>
              <w:t>Armenia</w:t>
            </w:r>
            <w:r w:rsidRPr="00434498">
              <w:rPr>
                <w:rFonts w:ascii="Times New Roman" w:eastAsia="Times New Roman" w:hAnsi="Times New Roman" w:cs="Times New Roman"/>
                <w:b/>
                <w:color w:val="000000"/>
                <w:sz w:val="24"/>
                <w:szCs w:val="24"/>
                <w:lang w:eastAsia="ru-RU"/>
              </w:rPr>
              <w:t xml:space="preserve"> </w:t>
            </w:r>
            <w:proofErr w:type="spellStart"/>
            <w:r w:rsidRPr="00434498">
              <w:rPr>
                <w:rFonts w:ascii="Times New Roman" w:eastAsia="Times New Roman" w:hAnsi="Times New Roman" w:cs="Times New Roman"/>
                <w:b/>
                <w:color w:val="000000"/>
                <w:sz w:val="24"/>
                <w:szCs w:val="24"/>
                <w:lang w:eastAsia="ru-RU"/>
              </w:rPr>
              <w:t>Total</w:t>
            </w:r>
            <w:proofErr w:type="spellEnd"/>
            <w:r w:rsidRPr="00434498">
              <w:rPr>
                <w:rFonts w:ascii="Times New Roman" w:eastAsia="Times New Roman" w:hAnsi="Times New Roman" w:cs="Times New Roman"/>
                <w:b/>
                <w:color w:val="000000"/>
                <w:sz w:val="24"/>
                <w:szCs w:val="24"/>
                <w:lang w:eastAsia="ru-RU"/>
              </w:rPr>
              <w:t xml:space="preserve">, USD </w:t>
            </w:r>
            <w:proofErr w:type="spellStart"/>
            <w:r w:rsidRPr="00434498">
              <w:rPr>
                <w:rFonts w:ascii="Times New Roman" w:eastAsia="Times New Roman" w:hAnsi="Times New Roman" w:cs="Times New Roman"/>
                <w:b/>
                <w:color w:val="000000"/>
                <w:sz w:val="24"/>
                <w:szCs w:val="24"/>
                <w:lang w:eastAsia="ru-RU"/>
              </w:rPr>
              <w:t>million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sz w:val="24"/>
                <w:szCs w:val="24"/>
                <w:lang w:eastAsia="ru-RU"/>
              </w:rPr>
            </w:pPr>
            <w:r w:rsidRPr="00434498">
              <w:rPr>
                <w:rFonts w:ascii="Times New Roman" w:eastAsia="Times New Roman" w:hAnsi="Times New Roman" w:cs="Times New Roman"/>
                <w:b/>
                <w:bCs/>
                <w:sz w:val="24"/>
                <w:szCs w:val="24"/>
                <w:lang w:eastAsia="ru-RU"/>
              </w:rPr>
              <w:t>631</w:t>
            </w:r>
            <w:r w:rsidRPr="00434498">
              <w:rPr>
                <w:rFonts w:ascii="Times New Roman" w:eastAsia="Times New Roman" w:hAnsi="Times New Roman" w:cs="Times New Roman"/>
                <w:b/>
                <w:bCs/>
                <w:sz w:val="24"/>
                <w:szCs w:val="24"/>
                <w:lang w:val="en-US" w:eastAsia="ru-RU"/>
              </w:rPr>
              <w:t>,</w:t>
            </w:r>
            <w:r w:rsidRPr="00434498">
              <w:rPr>
                <w:rFonts w:ascii="Times New Roman" w:eastAsia="Times New Roman" w:hAnsi="Times New Roman" w:cs="Times New Roman"/>
                <w:b/>
                <w:bCs/>
                <w:sz w:val="24"/>
                <w:szCs w:val="24"/>
                <w:lang w:eastAsia="ru-RU"/>
              </w:rPr>
              <w:t>4</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sz w:val="24"/>
                <w:szCs w:val="24"/>
                <w:lang w:eastAsia="ru-RU"/>
              </w:rPr>
            </w:pPr>
            <w:r w:rsidRPr="00434498">
              <w:rPr>
                <w:rFonts w:ascii="Times New Roman" w:eastAsia="Times New Roman" w:hAnsi="Times New Roman" w:cs="Times New Roman"/>
                <w:b/>
                <w:bCs/>
                <w:sz w:val="24"/>
                <w:szCs w:val="24"/>
                <w:lang w:eastAsia="ru-RU"/>
              </w:rPr>
              <w:t>567</w:t>
            </w:r>
            <w:r w:rsidRPr="00434498">
              <w:rPr>
                <w:rFonts w:ascii="Times New Roman" w:eastAsia="Times New Roman" w:hAnsi="Times New Roman" w:cs="Times New Roman"/>
                <w:b/>
                <w:bCs/>
                <w:sz w:val="24"/>
                <w:szCs w:val="24"/>
                <w:lang w:val="en-US" w:eastAsia="ru-RU"/>
              </w:rPr>
              <w:t>,</w:t>
            </w:r>
            <w:r w:rsidRPr="00434498">
              <w:rPr>
                <w:rFonts w:ascii="Times New Roman" w:eastAsia="Times New Roman" w:hAnsi="Times New Roman" w:cs="Times New Roman"/>
                <w:b/>
                <w:bCs/>
                <w:sz w:val="24"/>
                <w:szCs w:val="24"/>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bCs/>
                <w:sz w:val="24"/>
                <w:szCs w:val="24"/>
                <w:lang w:eastAsia="ru-RU"/>
              </w:rPr>
              <w:t>271</w:t>
            </w:r>
            <w:r w:rsidRPr="00434498">
              <w:rPr>
                <w:rFonts w:ascii="Times New Roman" w:eastAsia="Times New Roman" w:hAnsi="Times New Roman" w:cs="Times New Roman"/>
                <w:b/>
                <w:bCs/>
                <w:sz w:val="24"/>
                <w:szCs w:val="24"/>
                <w:lang w:val="en-US" w:eastAsia="ru-RU"/>
              </w:rPr>
              <w:t>,2</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center"/>
              <w:rPr>
                <w:rFonts w:ascii="Times New Roman" w:eastAsia="Times New Roman" w:hAnsi="Times New Roman" w:cs="Times New Roman"/>
                <w:b/>
                <w:color w:val="000000"/>
                <w:sz w:val="24"/>
                <w:szCs w:val="24"/>
                <w:lang w:eastAsia="ru-RU"/>
              </w:rPr>
            </w:pPr>
            <w:r w:rsidRPr="00434498">
              <w:rPr>
                <w:rFonts w:ascii="Times New Roman" w:eastAsia="Times New Roman" w:hAnsi="Times New Roman" w:cs="Times New Roman"/>
                <w:b/>
                <w:color w:val="000000"/>
                <w:sz w:val="24"/>
                <w:szCs w:val="24"/>
                <w:lang w:eastAsia="ru-RU"/>
              </w:rPr>
              <w:t xml:space="preserve"> </w:t>
            </w:r>
            <w:proofErr w:type="spellStart"/>
            <w:r w:rsidRPr="00434498">
              <w:rPr>
                <w:rFonts w:ascii="Times New Roman" w:eastAsia="Times New Roman" w:hAnsi="Times New Roman" w:cs="Times New Roman"/>
                <w:b/>
                <w:color w:val="000000"/>
                <w:sz w:val="24"/>
                <w:szCs w:val="24"/>
                <w:lang w:eastAsia="ru-RU"/>
              </w:rPr>
              <w:t>n</w:t>
            </w:r>
            <w:proofErr w:type="spellEnd"/>
            <w:r w:rsidRPr="00434498">
              <w:rPr>
                <w:rFonts w:ascii="Times New Roman" w:eastAsia="Times New Roman" w:hAnsi="Times New Roman" w:cs="Times New Roman"/>
                <w:b/>
                <w:color w:val="000000"/>
                <w:sz w:val="24"/>
                <w:szCs w:val="24"/>
                <w:lang w:eastAsia="ru-RU"/>
              </w:rPr>
              <w:t>/</w:t>
            </w:r>
            <w:proofErr w:type="spellStart"/>
            <w:r w:rsidRPr="00434498">
              <w:rPr>
                <w:rFonts w:ascii="Times New Roman" w:eastAsia="Times New Roman" w:hAnsi="Times New Roman" w:cs="Times New Roman"/>
                <w:b/>
                <w:color w:val="000000"/>
                <w:sz w:val="24"/>
                <w:szCs w:val="24"/>
                <w:lang w:eastAsia="ru-RU"/>
              </w:rPr>
              <w:t>a</w:t>
            </w:r>
            <w:proofErr w:type="spellEnd"/>
            <w:r w:rsidRPr="00434498">
              <w:rPr>
                <w:rFonts w:ascii="Times New Roman" w:eastAsia="Times New Roman" w:hAnsi="Times New Roman" w:cs="Times New Roman"/>
                <w:b/>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434498" w:rsidRDefault="000401FE" w:rsidP="000E523D">
            <w:pPr>
              <w:spacing w:after="0" w:line="240" w:lineRule="auto"/>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From/to Russia</w:t>
            </w:r>
            <w:r w:rsidRPr="004A7235">
              <w:rPr>
                <w:rFonts w:ascii="Times New Roman" w:eastAsia="Times New Roman" w:hAnsi="Times New Roman" w:cs="Times New Roman"/>
                <w:color w:val="000000"/>
                <w:sz w:val="24"/>
                <w:szCs w:val="24"/>
                <w:lang w:val="en-US" w:eastAsia="ru-RU"/>
              </w:rPr>
              <w:t>,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22547A">
              <w:rPr>
                <w:rFonts w:ascii="Times New Roman" w:eastAsia="Times New Roman" w:hAnsi="Times New Roman" w:cs="Times New Roman"/>
                <w:sz w:val="24"/>
                <w:szCs w:val="24"/>
                <w:lang w:eastAsia="ru-RU"/>
              </w:rPr>
              <w:t>338</w:t>
            </w:r>
            <w:r>
              <w:rPr>
                <w:rFonts w:ascii="Times New Roman" w:eastAsia="Times New Roman" w:hAnsi="Times New Roman" w:cs="Times New Roman"/>
                <w:sz w:val="24"/>
                <w:szCs w:val="24"/>
                <w:lang w:val="en-US"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22547A">
              <w:rPr>
                <w:rFonts w:ascii="Times New Roman" w:eastAsia="Times New Roman" w:hAnsi="Times New Roman" w:cs="Times New Roman"/>
                <w:sz w:val="24"/>
                <w:szCs w:val="24"/>
                <w:lang w:eastAsia="ru-RU"/>
              </w:rPr>
              <w:t>88</w:t>
            </w:r>
            <w:r>
              <w:rPr>
                <w:rFonts w:ascii="Times New Roman" w:eastAsia="Times New Roman" w:hAnsi="Times New Roman" w:cs="Times New Roman"/>
                <w:sz w:val="24"/>
                <w:szCs w:val="24"/>
                <w:lang w:val="en-US"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eastAsia="ru-RU"/>
              </w:rPr>
            </w:pPr>
            <w:r w:rsidRPr="0022547A">
              <w:rPr>
                <w:rFonts w:ascii="Times New Roman" w:eastAsia="Times New Roman" w:hAnsi="Times New Roman" w:cs="Times New Roman"/>
                <w:sz w:val="24"/>
                <w:szCs w:val="24"/>
                <w:lang w:eastAsia="ru-RU"/>
              </w:rPr>
              <w:t>58</w:t>
            </w:r>
            <w:r>
              <w:rPr>
                <w:rFonts w:ascii="Times New Roman" w:eastAsia="Times New Roman" w:hAnsi="Times New Roman" w:cs="Times New Roman"/>
                <w:sz w:val="24"/>
                <w:szCs w:val="24"/>
                <w:lang w:val="en-US" w:eastAsia="ru-RU"/>
              </w:rPr>
              <w:t>,</w:t>
            </w:r>
            <w:r w:rsidRPr="0022547A">
              <w:rPr>
                <w:rFonts w:ascii="Times New Roman" w:eastAsia="Times New Roman" w:hAnsi="Times New Roman" w:cs="Times New Roman"/>
                <w:sz w:val="24"/>
                <w:szCs w:val="24"/>
                <w:lang w:eastAsia="ru-RU"/>
              </w:rPr>
              <w:t>6</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434498" w:rsidRDefault="000401FE" w:rsidP="000E523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From/to Russia</w:t>
            </w: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53,6</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15,1</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21,6</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434498" w:rsidRDefault="000401FE" w:rsidP="000E523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r>
      <w:tr w:rsidR="000401FE" w:rsidRPr="005D2896" w:rsidTr="000E523D">
        <w:trPr>
          <w:trHeight w:val="315"/>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0401FE" w:rsidRPr="004A7235" w:rsidRDefault="000401FE" w:rsidP="000E523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From/to </w:t>
            </w:r>
            <w:r w:rsidRPr="004A7235">
              <w:rPr>
                <w:rFonts w:ascii="Times New Roman" w:eastAsia="Times New Roman" w:hAnsi="Times New Roman" w:cs="Times New Roman"/>
                <w:color w:val="000000"/>
                <w:sz w:val="24"/>
                <w:szCs w:val="24"/>
                <w:lang w:val="en-US" w:eastAsia="ru-RU"/>
              </w:rPr>
              <w:t>Kazakhstan, USD million</w:t>
            </w:r>
          </w:p>
        </w:tc>
        <w:tc>
          <w:tcPr>
            <w:tcW w:w="1134"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5,5</w:t>
            </w:r>
          </w:p>
        </w:tc>
        <w:tc>
          <w:tcPr>
            <w:tcW w:w="1275"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271" w:type="dxa"/>
            <w:tcBorders>
              <w:top w:val="nil"/>
              <w:left w:val="nil"/>
              <w:bottom w:val="single" w:sz="4"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r w:rsidRPr="005D2896">
              <w:rPr>
                <w:rFonts w:ascii="Times New Roman" w:eastAsia="Times New Roman" w:hAnsi="Times New Roman" w:cs="Times New Roman"/>
                <w:color w:val="000000"/>
                <w:sz w:val="24"/>
                <w:szCs w:val="24"/>
                <w:lang w:eastAsia="ru-RU"/>
              </w:rPr>
              <w:t xml:space="preserve"> </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4" w:space="0" w:color="auto"/>
              <w:right w:val="single" w:sz="8" w:space="0" w:color="auto"/>
            </w:tcBorders>
            <w:shd w:val="clear" w:color="auto" w:fill="auto"/>
            <w:noWrap/>
            <w:vAlign w:val="bottom"/>
            <w:hideMark/>
          </w:tcPr>
          <w:p w:rsidR="000401FE" w:rsidRPr="00434498" w:rsidRDefault="000401FE" w:rsidP="000E523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r>
      <w:tr w:rsidR="000401FE" w:rsidRPr="005D2896" w:rsidTr="000E523D">
        <w:trPr>
          <w:trHeight w:val="330"/>
        </w:trPr>
        <w:tc>
          <w:tcPr>
            <w:tcW w:w="3838" w:type="dxa"/>
            <w:tcBorders>
              <w:top w:val="nil"/>
              <w:left w:val="single" w:sz="8" w:space="0" w:color="auto"/>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From/to </w:t>
            </w:r>
            <w:proofErr w:type="spellStart"/>
            <w:r w:rsidRPr="005D2896">
              <w:rPr>
                <w:rFonts w:ascii="Times New Roman" w:eastAsia="Times New Roman" w:hAnsi="Times New Roman" w:cs="Times New Roman"/>
                <w:color w:val="000000"/>
                <w:sz w:val="24"/>
                <w:szCs w:val="24"/>
                <w:lang w:eastAsia="ru-RU"/>
              </w:rPr>
              <w:t>Kazakhstan</w:t>
            </w:r>
            <w:proofErr w:type="spellEnd"/>
            <w:r w:rsidRPr="005D2896">
              <w:rPr>
                <w:rFonts w:ascii="Times New Roman" w:eastAsia="Times New Roman" w:hAnsi="Times New Roman" w:cs="Times New Roman"/>
                <w:color w:val="000000"/>
                <w:sz w:val="24"/>
                <w:szCs w:val="24"/>
                <w:lang w:eastAsia="ru-RU"/>
              </w:rPr>
              <w:t xml:space="preserve">, </w:t>
            </w:r>
            <w:proofErr w:type="spellStart"/>
            <w:r w:rsidRPr="005D2896">
              <w:rPr>
                <w:rFonts w:ascii="Times New Roman" w:eastAsia="Times New Roman" w:hAnsi="Times New Roman" w:cs="Times New Roman"/>
                <w:color w:val="000000"/>
                <w:sz w:val="24"/>
                <w:szCs w:val="24"/>
                <w:lang w:eastAsia="ru-RU"/>
              </w:rPr>
              <w:t>share</w:t>
            </w:r>
            <w:proofErr w:type="spellEnd"/>
          </w:p>
        </w:tc>
        <w:tc>
          <w:tcPr>
            <w:tcW w:w="1134"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0,0</w:t>
            </w:r>
          </w:p>
        </w:tc>
        <w:tc>
          <w:tcPr>
            <w:tcW w:w="1275"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276"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271" w:type="dxa"/>
            <w:tcBorders>
              <w:top w:val="nil"/>
              <w:left w:val="nil"/>
              <w:bottom w:val="single" w:sz="8" w:space="0" w:color="auto"/>
              <w:right w:val="single" w:sz="4" w:space="0" w:color="auto"/>
            </w:tcBorders>
            <w:shd w:val="clear" w:color="auto" w:fill="auto"/>
            <w:noWrap/>
            <w:vAlign w:val="bottom"/>
            <w:hideMark/>
          </w:tcPr>
          <w:p w:rsidR="000401FE" w:rsidRPr="005D2896" w:rsidRDefault="000401FE" w:rsidP="000E523D">
            <w:pPr>
              <w:spacing w:after="0" w:line="240" w:lineRule="auto"/>
              <w:jc w:val="center"/>
              <w:rPr>
                <w:rFonts w:ascii="Times New Roman" w:eastAsia="Times New Roman" w:hAnsi="Times New Roman" w:cs="Times New Roman"/>
                <w:color w:val="000000"/>
                <w:sz w:val="24"/>
                <w:szCs w:val="24"/>
                <w:lang w:eastAsia="ru-RU"/>
              </w:rPr>
            </w:pPr>
            <w:proofErr w:type="spellStart"/>
            <w:r w:rsidRPr="005D2896">
              <w:rPr>
                <w:rFonts w:ascii="Times New Roman" w:eastAsia="Times New Roman" w:hAnsi="Times New Roman" w:cs="Times New Roman"/>
                <w:color w:val="000000"/>
                <w:sz w:val="24"/>
                <w:szCs w:val="24"/>
                <w:lang w:eastAsia="ru-RU"/>
              </w:rPr>
              <w:t>n</w:t>
            </w:r>
            <w:proofErr w:type="spellEnd"/>
            <w:r w:rsidRPr="005D2896">
              <w:rPr>
                <w:rFonts w:ascii="Times New Roman" w:eastAsia="Times New Roman" w:hAnsi="Times New Roman" w:cs="Times New Roman"/>
                <w:color w:val="000000"/>
                <w:sz w:val="24"/>
                <w:szCs w:val="24"/>
                <w:lang w:eastAsia="ru-RU"/>
              </w:rPr>
              <w:t>/</w:t>
            </w:r>
            <w:proofErr w:type="spellStart"/>
            <w:r w:rsidRPr="005D2896">
              <w:rPr>
                <w:rFonts w:ascii="Times New Roman" w:eastAsia="Times New Roman" w:hAnsi="Times New Roman" w:cs="Times New Roman"/>
                <w:color w:val="000000"/>
                <w:sz w:val="24"/>
                <w:szCs w:val="24"/>
                <w:lang w:eastAsia="ru-RU"/>
              </w:rPr>
              <w:t>a</w:t>
            </w:r>
            <w:proofErr w:type="spellEnd"/>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8" w:space="0" w:color="auto"/>
              <w:right w:val="single" w:sz="4" w:space="0" w:color="auto"/>
            </w:tcBorders>
            <w:shd w:val="clear" w:color="auto" w:fill="auto"/>
            <w:noWrap/>
            <w:vAlign w:val="bottom"/>
            <w:hideMark/>
          </w:tcPr>
          <w:p w:rsidR="000401FE" w:rsidRPr="00434498" w:rsidRDefault="000401FE" w:rsidP="000E523D">
            <w:pPr>
              <w:spacing w:after="0" w:line="240" w:lineRule="auto"/>
              <w:jc w:val="righ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1400" w:type="dxa"/>
            <w:tcBorders>
              <w:top w:val="nil"/>
              <w:left w:val="nil"/>
              <w:bottom w:val="single" w:sz="8" w:space="0" w:color="auto"/>
              <w:right w:val="single" w:sz="8" w:space="0" w:color="auto"/>
            </w:tcBorders>
            <w:shd w:val="clear" w:color="auto" w:fill="auto"/>
            <w:noWrap/>
            <w:vAlign w:val="bottom"/>
            <w:hideMark/>
          </w:tcPr>
          <w:p w:rsidR="000401FE" w:rsidRPr="00434498" w:rsidRDefault="000401FE" w:rsidP="000E523D">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r>
    </w:tbl>
    <w:p w:rsidR="000401FE" w:rsidRDefault="000401FE" w:rsidP="00A539E6">
      <w:pPr>
        <w:rPr>
          <w:rFonts w:ascii="Times New Roman" w:hAnsi="Times New Roman" w:cs="Times New Roman"/>
          <w:sz w:val="28"/>
          <w:szCs w:val="28"/>
          <w:lang w:val="en-US"/>
        </w:rPr>
        <w:sectPr w:rsidR="000401FE" w:rsidSect="000401FE">
          <w:pgSz w:w="16838" w:h="11906" w:orient="landscape"/>
          <w:pgMar w:top="850" w:right="1134" w:bottom="1701" w:left="1134" w:header="708" w:footer="708" w:gutter="0"/>
          <w:cols w:space="708"/>
          <w:titlePg/>
          <w:docGrid w:linePitch="360"/>
        </w:sectPr>
      </w:pPr>
    </w:p>
    <w:p w:rsidR="00C904AE" w:rsidRDefault="00C904AE" w:rsidP="00C904AE">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Appendix 2</w:t>
      </w:r>
    </w:p>
    <w:p w:rsidR="00C904AE" w:rsidRPr="00C904AE" w:rsidRDefault="00C904AE" w:rsidP="00C904AE">
      <w:pPr>
        <w:rPr>
          <w:rFonts w:ascii="Times New Roman" w:hAnsi="Times New Roman" w:cs="Times New Roman"/>
          <w:b/>
          <w:sz w:val="28"/>
          <w:szCs w:val="28"/>
          <w:lang w:val="en-US"/>
        </w:rPr>
      </w:pPr>
      <w:r w:rsidRPr="00C904AE">
        <w:rPr>
          <w:rFonts w:ascii="Times New Roman" w:hAnsi="Times New Roman" w:cs="Times New Roman"/>
          <w:b/>
          <w:sz w:val="28"/>
          <w:szCs w:val="28"/>
          <w:lang w:val="en-US"/>
        </w:rPr>
        <w:t>Doing business in the EAEU countries: key indicators</w:t>
      </w:r>
    </w:p>
    <w:tbl>
      <w:tblPr>
        <w:tblStyle w:val="af0"/>
        <w:tblW w:w="8755" w:type="dxa"/>
        <w:tblLook w:val="04A0"/>
      </w:tblPr>
      <w:tblGrid>
        <w:gridCol w:w="4219"/>
        <w:gridCol w:w="1276"/>
        <w:gridCol w:w="1276"/>
        <w:gridCol w:w="992"/>
        <w:gridCol w:w="992"/>
      </w:tblGrid>
      <w:tr w:rsidR="00C904AE" w:rsidRPr="00C904AE" w:rsidTr="000E523D">
        <w:tc>
          <w:tcPr>
            <w:tcW w:w="4219" w:type="dxa"/>
          </w:tcPr>
          <w:p w:rsidR="00C904AE" w:rsidRPr="00C904AE" w:rsidRDefault="00C904AE" w:rsidP="000E523D">
            <w:pPr>
              <w:rPr>
                <w:rFonts w:ascii="Times New Roman" w:hAnsi="Times New Roman" w:cs="Times New Roman"/>
                <w:sz w:val="28"/>
                <w:szCs w:val="28"/>
              </w:rPr>
            </w:pPr>
            <w:r w:rsidRPr="00C904AE">
              <w:rPr>
                <w:rFonts w:ascii="Times New Roman" w:hAnsi="Times New Roman" w:cs="Times New Roman"/>
                <w:b/>
                <w:bCs/>
                <w:sz w:val="28"/>
                <w:szCs w:val="28"/>
                <w:lang w:val="en-US"/>
              </w:rPr>
              <w:t>Indicator</w:t>
            </w:r>
            <w:r w:rsidRPr="00C904AE">
              <w:rPr>
                <w:rFonts w:ascii="Times New Roman" w:hAnsi="Times New Roman" w:cs="Times New Roman"/>
                <w:b/>
                <w:bCs/>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b/>
                <w:bCs/>
                <w:sz w:val="28"/>
                <w:szCs w:val="28"/>
                <w:lang w:val="en-US"/>
              </w:rPr>
              <w:t>RF</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b/>
                <w:bCs/>
                <w:sz w:val="28"/>
                <w:szCs w:val="28"/>
                <w:lang w:val="en-US"/>
              </w:rPr>
              <w:t>RB</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b/>
                <w:bCs/>
                <w:sz w:val="28"/>
                <w:szCs w:val="28"/>
                <w:lang w:val="en-US"/>
              </w:rPr>
              <w:t>RK</w:t>
            </w:r>
          </w:p>
        </w:tc>
        <w:tc>
          <w:tcPr>
            <w:tcW w:w="992" w:type="dxa"/>
          </w:tcPr>
          <w:p w:rsidR="00C904AE" w:rsidRPr="00C904AE" w:rsidRDefault="00C904AE" w:rsidP="000E523D">
            <w:pPr>
              <w:jc w:val="center"/>
              <w:rPr>
                <w:rFonts w:ascii="Times New Roman" w:hAnsi="Times New Roman" w:cs="Times New Roman"/>
                <w:b/>
                <w:bCs/>
                <w:sz w:val="28"/>
                <w:szCs w:val="28"/>
                <w:lang w:val="en-US"/>
              </w:rPr>
            </w:pPr>
            <w:r w:rsidRPr="00C904AE">
              <w:rPr>
                <w:rFonts w:ascii="Times New Roman" w:hAnsi="Times New Roman" w:cs="Times New Roman"/>
                <w:b/>
                <w:bCs/>
                <w:sz w:val="28"/>
                <w:szCs w:val="28"/>
                <w:lang w:val="en-US"/>
              </w:rPr>
              <w:t>RA</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lang w:val="en-US"/>
              </w:rPr>
            </w:pPr>
            <w:r w:rsidRPr="00C904AE">
              <w:rPr>
                <w:rFonts w:ascii="Times New Roman" w:hAnsi="Times New Roman" w:cs="Times New Roman"/>
                <w:sz w:val="28"/>
                <w:szCs w:val="28"/>
                <w:lang w:val="en-US"/>
              </w:rPr>
              <w:t xml:space="preserve">Ease of doing business ranking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62</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57</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77</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45</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r w:rsidRPr="00C904AE">
              <w:rPr>
                <w:rFonts w:ascii="Times New Roman" w:hAnsi="Times New Roman" w:cs="Times New Roman"/>
                <w:b/>
                <w:bCs/>
                <w:sz w:val="28"/>
                <w:szCs w:val="28"/>
                <w:lang w:val="en-US"/>
              </w:rPr>
              <w:t>Starting a business, rank</w:t>
            </w:r>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b/>
                <w:bCs/>
                <w:sz w:val="28"/>
                <w:szCs w:val="28"/>
                <w:lang w:val="en-US"/>
              </w:rPr>
              <w:t>34</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b/>
                <w:bCs/>
                <w:sz w:val="28"/>
                <w:szCs w:val="28"/>
                <w:lang w:val="en-US"/>
              </w:rPr>
              <w:t>40</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b/>
                <w:bCs/>
                <w:sz w:val="28"/>
                <w:szCs w:val="28"/>
                <w:lang w:val="en-US"/>
              </w:rPr>
              <w:t>55</w:t>
            </w:r>
          </w:p>
        </w:tc>
        <w:tc>
          <w:tcPr>
            <w:tcW w:w="992" w:type="dxa"/>
          </w:tcPr>
          <w:p w:rsidR="00C904AE" w:rsidRPr="00C904AE" w:rsidRDefault="00C904AE" w:rsidP="000E523D">
            <w:pPr>
              <w:jc w:val="center"/>
              <w:rPr>
                <w:rFonts w:ascii="Times New Roman" w:hAnsi="Times New Roman" w:cs="Times New Roman"/>
                <w:b/>
                <w:bCs/>
                <w:sz w:val="28"/>
                <w:szCs w:val="28"/>
                <w:lang w:val="en-US"/>
              </w:rPr>
            </w:pPr>
            <w:r w:rsidRPr="00C904AE">
              <w:rPr>
                <w:rFonts w:ascii="Times New Roman" w:hAnsi="Times New Roman" w:cs="Times New Roman"/>
                <w:b/>
                <w:bCs/>
                <w:sz w:val="28"/>
                <w:szCs w:val="28"/>
                <w:lang w:val="en-US"/>
              </w:rPr>
              <w:t>4</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lang w:val="en-US"/>
              </w:rPr>
            </w:pPr>
            <w:r w:rsidRPr="00C904AE">
              <w:rPr>
                <w:rFonts w:ascii="Times New Roman" w:hAnsi="Times New Roman" w:cs="Times New Roman"/>
                <w:sz w:val="28"/>
                <w:szCs w:val="28"/>
                <w:lang w:val="en-US"/>
              </w:rPr>
              <w:t>DTF</w:t>
            </w:r>
            <w:r w:rsidRPr="00C904AE">
              <w:rPr>
                <w:rStyle w:val="a5"/>
                <w:rFonts w:ascii="Times New Roman" w:hAnsi="Times New Roman" w:cs="Times New Roman"/>
                <w:sz w:val="28"/>
                <w:szCs w:val="28"/>
                <w:lang w:val="en-US"/>
              </w:rPr>
              <w:footnoteReference w:id="27"/>
            </w:r>
            <w:r w:rsidRPr="00C904AE">
              <w:rPr>
                <w:rFonts w:ascii="Times New Roman" w:hAnsi="Times New Roman" w:cs="Times New Roman"/>
                <w:sz w:val="28"/>
                <w:szCs w:val="28"/>
                <w:lang w:val="en-US"/>
              </w:rPr>
              <w:t xml:space="preserve"> score for starting a business (0 – 100)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92.17</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91.88</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90.19</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97.77</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r w:rsidRPr="00C904AE">
              <w:rPr>
                <w:rFonts w:ascii="Times New Roman" w:hAnsi="Times New Roman" w:cs="Times New Roman"/>
                <w:sz w:val="28"/>
                <w:szCs w:val="28"/>
                <w:lang w:val="en-US"/>
              </w:rPr>
              <w:t>Procedures (number)</w:t>
            </w:r>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4.4</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5</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6</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2</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r w:rsidRPr="00C904AE">
              <w:rPr>
                <w:rFonts w:ascii="Times New Roman" w:hAnsi="Times New Roman" w:cs="Times New Roman"/>
                <w:sz w:val="28"/>
                <w:szCs w:val="28"/>
                <w:lang w:val="en-US"/>
              </w:rPr>
              <w:t>Time (days)</w:t>
            </w:r>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11.2</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9</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10</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3</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lang w:val="en-US"/>
              </w:rPr>
            </w:pPr>
            <w:r w:rsidRPr="00C904AE">
              <w:rPr>
                <w:rFonts w:ascii="Times New Roman" w:hAnsi="Times New Roman" w:cs="Times New Roman"/>
                <w:sz w:val="28"/>
                <w:szCs w:val="28"/>
                <w:lang w:val="en-US"/>
              </w:rPr>
              <w:t xml:space="preserve">Costs, % of income per capita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1.2</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0.8</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0.5</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1.0</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lang w:val="en-US"/>
              </w:rPr>
            </w:pPr>
            <w:r w:rsidRPr="00C904AE">
              <w:rPr>
                <w:rFonts w:ascii="Times New Roman" w:hAnsi="Times New Roman" w:cs="Times New Roman"/>
                <w:sz w:val="28"/>
                <w:szCs w:val="28"/>
                <w:lang w:val="en-US"/>
              </w:rPr>
              <w:t>Minimum capital (% of income per capita)</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0.0</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0.0</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0.0</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0.0</w:t>
            </w:r>
          </w:p>
        </w:tc>
      </w:tr>
      <w:tr w:rsidR="00C904AE" w:rsidRPr="00C904AE" w:rsidTr="000E523D">
        <w:tc>
          <w:tcPr>
            <w:tcW w:w="4219" w:type="dxa"/>
          </w:tcPr>
          <w:p w:rsidR="00C904AE" w:rsidRPr="00C904AE" w:rsidRDefault="00C904AE" w:rsidP="000E523D">
            <w:pPr>
              <w:rPr>
                <w:rFonts w:ascii="Times New Roman" w:hAnsi="Times New Roman" w:cs="Times New Roman"/>
                <w:b/>
                <w:sz w:val="28"/>
                <w:szCs w:val="28"/>
                <w:lang w:val="en-US"/>
              </w:rPr>
            </w:pPr>
            <w:r w:rsidRPr="00C904AE">
              <w:rPr>
                <w:rFonts w:ascii="Times New Roman" w:hAnsi="Times New Roman" w:cs="Times New Roman"/>
                <w:b/>
                <w:bCs/>
                <w:sz w:val="28"/>
                <w:szCs w:val="28"/>
                <w:lang w:val="en-US"/>
              </w:rPr>
              <w:t xml:space="preserve">Dealing with construction permits </w:t>
            </w:r>
            <w:r w:rsidRPr="00C904AE">
              <w:rPr>
                <w:rFonts w:ascii="Times New Roman" w:hAnsi="Times New Roman" w:cs="Times New Roman"/>
                <w:b/>
                <w:sz w:val="28"/>
                <w:szCs w:val="28"/>
                <w:lang w:val="en-US"/>
              </w:rPr>
              <w:t xml:space="preserve">(rank) </w:t>
            </w:r>
          </w:p>
        </w:tc>
        <w:tc>
          <w:tcPr>
            <w:tcW w:w="1276" w:type="dxa"/>
          </w:tcPr>
          <w:p w:rsidR="00C904AE" w:rsidRPr="00C904AE" w:rsidRDefault="00C904AE" w:rsidP="000E523D">
            <w:pPr>
              <w:jc w:val="center"/>
              <w:rPr>
                <w:rFonts w:ascii="Times New Roman" w:hAnsi="Times New Roman" w:cs="Times New Roman"/>
                <w:b/>
                <w:sz w:val="28"/>
                <w:szCs w:val="28"/>
              </w:rPr>
            </w:pPr>
            <w:r w:rsidRPr="00C904AE">
              <w:rPr>
                <w:rFonts w:ascii="Times New Roman" w:hAnsi="Times New Roman" w:cs="Times New Roman"/>
                <w:b/>
                <w:sz w:val="28"/>
                <w:szCs w:val="28"/>
                <w:lang w:val="en-US"/>
              </w:rPr>
              <w:t>156</w:t>
            </w:r>
          </w:p>
        </w:tc>
        <w:tc>
          <w:tcPr>
            <w:tcW w:w="1276" w:type="dxa"/>
          </w:tcPr>
          <w:p w:rsidR="00C904AE" w:rsidRPr="00C904AE" w:rsidRDefault="00C904AE" w:rsidP="000E523D">
            <w:pPr>
              <w:jc w:val="center"/>
              <w:rPr>
                <w:rFonts w:ascii="Times New Roman" w:hAnsi="Times New Roman" w:cs="Times New Roman"/>
                <w:b/>
                <w:sz w:val="28"/>
                <w:szCs w:val="28"/>
              </w:rPr>
            </w:pPr>
            <w:r w:rsidRPr="00C904AE">
              <w:rPr>
                <w:rFonts w:ascii="Times New Roman" w:hAnsi="Times New Roman" w:cs="Times New Roman"/>
                <w:b/>
                <w:sz w:val="28"/>
                <w:szCs w:val="28"/>
                <w:lang w:val="en-US"/>
              </w:rPr>
              <w:t>51</w:t>
            </w:r>
          </w:p>
        </w:tc>
        <w:tc>
          <w:tcPr>
            <w:tcW w:w="992" w:type="dxa"/>
          </w:tcPr>
          <w:p w:rsidR="00C904AE" w:rsidRPr="00C904AE" w:rsidRDefault="00C904AE" w:rsidP="000E523D">
            <w:pPr>
              <w:jc w:val="center"/>
              <w:rPr>
                <w:rFonts w:ascii="Times New Roman" w:hAnsi="Times New Roman" w:cs="Times New Roman"/>
                <w:b/>
                <w:sz w:val="28"/>
                <w:szCs w:val="28"/>
              </w:rPr>
            </w:pPr>
            <w:r w:rsidRPr="00C904AE">
              <w:rPr>
                <w:rFonts w:ascii="Times New Roman" w:hAnsi="Times New Roman" w:cs="Times New Roman"/>
                <w:b/>
                <w:sz w:val="28"/>
                <w:szCs w:val="28"/>
                <w:lang w:val="en-US"/>
              </w:rPr>
              <w:t>154</w:t>
            </w:r>
          </w:p>
        </w:tc>
        <w:tc>
          <w:tcPr>
            <w:tcW w:w="992" w:type="dxa"/>
          </w:tcPr>
          <w:p w:rsidR="00C904AE" w:rsidRPr="00C904AE" w:rsidRDefault="00C904AE" w:rsidP="000E523D">
            <w:pPr>
              <w:jc w:val="center"/>
              <w:rPr>
                <w:rFonts w:ascii="Times New Roman" w:hAnsi="Times New Roman" w:cs="Times New Roman"/>
                <w:b/>
                <w:sz w:val="28"/>
                <w:szCs w:val="28"/>
                <w:lang w:val="en-US"/>
              </w:rPr>
            </w:pPr>
            <w:r w:rsidRPr="00C904AE">
              <w:rPr>
                <w:rFonts w:ascii="Times New Roman" w:hAnsi="Times New Roman" w:cs="Times New Roman"/>
                <w:b/>
                <w:sz w:val="28"/>
                <w:szCs w:val="28"/>
                <w:lang w:val="en-US"/>
              </w:rPr>
              <w:t>81</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lang w:val="en-US"/>
              </w:rPr>
            </w:pPr>
            <w:r w:rsidRPr="00C904AE">
              <w:rPr>
                <w:rFonts w:ascii="Times New Roman" w:hAnsi="Times New Roman" w:cs="Times New Roman"/>
                <w:sz w:val="28"/>
                <w:szCs w:val="28"/>
                <w:lang w:val="en-US"/>
              </w:rPr>
              <w:t xml:space="preserve">DTF score for dealing with construction permits (0–100)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56.70</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78.20</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58.39</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73.78</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proofErr w:type="spellStart"/>
            <w:r w:rsidRPr="00C904AE">
              <w:rPr>
                <w:rFonts w:ascii="Times New Roman" w:hAnsi="Times New Roman" w:cs="Times New Roman"/>
                <w:sz w:val="28"/>
                <w:szCs w:val="28"/>
              </w:rPr>
              <w:t>Procedures</w:t>
            </w:r>
            <w:proofErr w:type="spellEnd"/>
            <w:r w:rsidRPr="00C904AE">
              <w:rPr>
                <w:rFonts w:ascii="Times New Roman" w:hAnsi="Times New Roman" w:cs="Times New Roman"/>
                <w:sz w:val="28"/>
                <w:szCs w:val="28"/>
              </w:rPr>
              <w:t xml:space="preserve"> (</w:t>
            </w:r>
            <w:proofErr w:type="spellStart"/>
            <w:r w:rsidRPr="00C904AE">
              <w:rPr>
                <w:rFonts w:ascii="Times New Roman" w:hAnsi="Times New Roman" w:cs="Times New Roman"/>
                <w:sz w:val="28"/>
                <w:szCs w:val="28"/>
              </w:rPr>
              <w:t>number</w:t>
            </w:r>
            <w:proofErr w:type="spellEnd"/>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19.8</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14</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25</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19</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r w:rsidRPr="00C904AE">
              <w:rPr>
                <w:rFonts w:ascii="Times New Roman" w:hAnsi="Times New Roman" w:cs="Times New Roman"/>
                <w:sz w:val="28"/>
                <w:szCs w:val="28"/>
                <w:lang w:val="en-US"/>
              </w:rPr>
              <w:t>Time (days)</w:t>
            </w:r>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238.4</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114</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156</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83</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proofErr w:type="spellStart"/>
            <w:r w:rsidRPr="00C904AE">
              <w:rPr>
                <w:rFonts w:ascii="Times New Roman" w:hAnsi="Times New Roman" w:cs="Times New Roman"/>
                <w:sz w:val="28"/>
                <w:szCs w:val="28"/>
              </w:rPr>
              <w:t>Cost</w:t>
            </w:r>
            <w:proofErr w:type="spellEnd"/>
            <w:r w:rsidRPr="00C904AE">
              <w:rPr>
                <w:rFonts w:ascii="Times New Roman" w:hAnsi="Times New Roman" w:cs="Times New Roman"/>
                <w:sz w:val="28"/>
                <w:szCs w:val="28"/>
              </w:rPr>
              <w:t xml:space="preserve"> (% </w:t>
            </w:r>
            <w:proofErr w:type="spellStart"/>
            <w:r w:rsidRPr="00C904AE">
              <w:rPr>
                <w:rFonts w:ascii="Times New Roman" w:hAnsi="Times New Roman" w:cs="Times New Roman"/>
                <w:sz w:val="28"/>
                <w:szCs w:val="28"/>
              </w:rPr>
              <w:t>of</w:t>
            </w:r>
            <w:proofErr w:type="spellEnd"/>
            <w:r w:rsidRPr="00C904AE">
              <w:rPr>
                <w:rFonts w:ascii="Times New Roman" w:hAnsi="Times New Roman" w:cs="Times New Roman"/>
                <w:sz w:val="28"/>
                <w:szCs w:val="28"/>
              </w:rPr>
              <w:t xml:space="preserve"> </w:t>
            </w:r>
            <w:proofErr w:type="spellStart"/>
            <w:r w:rsidRPr="00C904AE">
              <w:rPr>
                <w:rFonts w:ascii="Times New Roman" w:hAnsi="Times New Roman" w:cs="Times New Roman"/>
                <w:sz w:val="28"/>
                <w:szCs w:val="28"/>
              </w:rPr>
              <w:t>warehouse</w:t>
            </w:r>
            <w:proofErr w:type="spellEnd"/>
            <w:r w:rsidRPr="00C904AE">
              <w:rPr>
                <w:rFonts w:ascii="Times New Roman" w:hAnsi="Times New Roman" w:cs="Times New Roman"/>
                <w:sz w:val="28"/>
                <w:szCs w:val="28"/>
              </w:rPr>
              <w:t xml:space="preserve"> </w:t>
            </w:r>
            <w:proofErr w:type="spellStart"/>
            <w:r w:rsidRPr="00C904AE">
              <w:rPr>
                <w:rFonts w:ascii="Times New Roman" w:hAnsi="Times New Roman" w:cs="Times New Roman"/>
                <w:sz w:val="28"/>
                <w:szCs w:val="28"/>
              </w:rPr>
              <w:t>value</w:t>
            </w:r>
            <w:proofErr w:type="spellEnd"/>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1.9</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0.8</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1.5</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1.2</w:t>
            </w:r>
          </w:p>
        </w:tc>
      </w:tr>
      <w:tr w:rsidR="00C904AE" w:rsidRPr="00C904AE" w:rsidTr="000E523D">
        <w:tc>
          <w:tcPr>
            <w:tcW w:w="4219" w:type="dxa"/>
          </w:tcPr>
          <w:p w:rsidR="00C904AE" w:rsidRPr="00C904AE" w:rsidRDefault="00C904AE" w:rsidP="000E523D">
            <w:pPr>
              <w:rPr>
                <w:rFonts w:ascii="Times New Roman" w:hAnsi="Times New Roman" w:cs="Times New Roman"/>
                <w:b/>
                <w:sz w:val="28"/>
                <w:szCs w:val="28"/>
              </w:rPr>
            </w:pPr>
            <w:proofErr w:type="spellStart"/>
            <w:r w:rsidRPr="00C904AE">
              <w:rPr>
                <w:rFonts w:ascii="Times New Roman" w:hAnsi="Times New Roman" w:cs="Times New Roman"/>
                <w:b/>
                <w:bCs/>
                <w:sz w:val="28"/>
                <w:szCs w:val="28"/>
              </w:rPr>
              <w:t>Getting</w:t>
            </w:r>
            <w:proofErr w:type="spellEnd"/>
            <w:r w:rsidRPr="00C904AE">
              <w:rPr>
                <w:rFonts w:ascii="Times New Roman" w:hAnsi="Times New Roman" w:cs="Times New Roman"/>
                <w:b/>
                <w:bCs/>
                <w:sz w:val="28"/>
                <w:szCs w:val="28"/>
              </w:rPr>
              <w:t xml:space="preserve"> </w:t>
            </w:r>
            <w:proofErr w:type="spellStart"/>
            <w:r w:rsidRPr="00C904AE">
              <w:rPr>
                <w:rFonts w:ascii="Times New Roman" w:hAnsi="Times New Roman" w:cs="Times New Roman"/>
                <w:b/>
                <w:bCs/>
                <w:sz w:val="28"/>
                <w:szCs w:val="28"/>
              </w:rPr>
              <w:t>electricity</w:t>
            </w:r>
            <w:proofErr w:type="spellEnd"/>
            <w:r w:rsidRPr="00C904AE">
              <w:rPr>
                <w:rFonts w:ascii="Times New Roman" w:hAnsi="Times New Roman" w:cs="Times New Roman"/>
                <w:b/>
                <w:bCs/>
                <w:sz w:val="28"/>
                <w:szCs w:val="28"/>
              </w:rPr>
              <w:t xml:space="preserve"> </w:t>
            </w:r>
            <w:r w:rsidRPr="00C904AE">
              <w:rPr>
                <w:rFonts w:ascii="Times New Roman" w:hAnsi="Times New Roman" w:cs="Times New Roman"/>
                <w:b/>
                <w:sz w:val="28"/>
                <w:szCs w:val="28"/>
              </w:rPr>
              <w:t>(</w:t>
            </w:r>
            <w:proofErr w:type="spellStart"/>
            <w:r w:rsidRPr="00C904AE">
              <w:rPr>
                <w:rFonts w:ascii="Times New Roman" w:hAnsi="Times New Roman" w:cs="Times New Roman"/>
                <w:b/>
                <w:sz w:val="28"/>
                <w:szCs w:val="28"/>
              </w:rPr>
              <w:t>rank</w:t>
            </w:r>
            <w:proofErr w:type="spellEnd"/>
            <w:r w:rsidRPr="00C904AE">
              <w:rPr>
                <w:rFonts w:ascii="Times New Roman" w:hAnsi="Times New Roman" w:cs="Times New Roman"/>
                <w:b/>
                <w:sz w:val="28"/>
                <w:szCs w:val="28"/>
              </w:rPr>
              <w:t xml:space="preserve">) </w:t>
            </w:r>
          </w:p>
        </w:tc>
        <w:tc>
          <w:tcPr>
            <w:tcW w:w="1276" w:type="dxa"/>
          </w:tcPr>
          <w:p w:rsidR="00C904AE" w:rsidRPr="00C904AE" w:rsidRDefault="00C904AE" w:rsidP="000E523D">
            <w:pPr>
              <w:jc w:val="center"/>
              <w:rPr>
                <w:rFonts w:ascii="Times New Roman" w:hAnsi="Times New Roman" w:cs="Times New Roman"/>
                <w:b/>
                <w:sz w:val="28"/>
                <w:szCs w:val="28"/>
              </w:rPr>
            </w:pPr>
            <w:r w:rsidRPr="00C904AE">
              <w:rPr>
                <w:rFonts w:ascii="Times New Roman" w:hAnsi="Times New Roman" w:cs="Times New Roman"/>
                <w:b/>
                <w:sz w:val="28"/>
                <w:szCs w:val="28"/>
                <w:lang w:val="en-US"/>
              </w:rPr>
              <w:t>143</w:t>
            </w:r>
          </w:p>
        </w:tc>
        <w:tc>
          <w:tcPr>
            <w:tcW w:w="1276" w:type="dxa"/>
          </w:tcPr>
          <w:p w:rsidR="00C904AE" w:rsidRPr="00C904AE" w:rsidRDefault="00C904AE" w:rsidP="000E523D">
            <w:pPr>
              <w:jc w:val="center"/>
              <w:rPr>
                <w:rFonts w:ascii="Times New Roman" w:hAnsi="Times New Roman" w:cs="Times New Roman"/>
                <w:b/>
                <w:sz w:val="28"/>
                <w:szCs w:val="28"/>
              </w:rPr>
            </w:pPr>
            <w:r w:rsidRPr="00C904AE">
              <w:rPr>
                <w:rFonts w:ascii="Times New Roman" w:hAnsi="Times New Roman" w:cs="Times New Roman"/>
                <w:b/>
                <w:sz w:val="28"/>
                <w:szCs w:val="28"/>
                <w:lang w:val="en-US"/>
              </w:rPr>
              <w:t>148</w:t>
            </w:r>
          </w:p>
        </w:tc>
        <w:tc>
          <w:tcPr>
            <w:tcW w:w="992" w:type="dxa"/>
          </w:tcPr>
          <w:p w:rsidR="00C904AE" w:rsidRPr="00C904AE" w:rsidRDefault="00C904AE" w:rsidP="000E523D">
            <w:pPr>
              <w:jc w:val="center"/>
              <w:rPr>
                <w:rFonts w:ascii="Times New Roman" w:hAnsi="Times New Roman" w:cs="Times New Roman"/>
                <w:b/>
                <w:sz w:val="28"/>
                <w:szCs w:val="28"/>
              </w:rPr>
            </w:pPr>
            <w:r w:rsidRPr="00C904AE">
              <w:rPr>
                <w:rFonts w:ascii="Times New Roman" w:hAnsi="Times New Roman" w:cs="Times New Roman"/>
                <w:b/>
                <w:sz w:val="28"/>
                <w:szCs w:val="28"/>
                <w:lang w:val="en-US"/>
              </w:rPr>
              <w:t>97</w:t>
            </w:r>
          </w:p>
        </w:tc>
        <w:tc>
          <w:tcPr>
            <w:tcW w:w="992" w:type="dxa"/>
          </w:tcPr>
          <w:p w:rsidR="00C904AE" w:rsidRPr="00C904AE" w:rsidRDefault="00C904AE" w:rsidP="000E523D">
            <w:pPr>
              <w:jc w:val="center"/>
              <w:rPr>
                <w:rFonts w:ascii="Times New Roman" w:hAnsi="Times New Roman" w:cs="Times New Roman"/>
                <w:b/>
                <w:sz w:val="28"/>
                <w:szCs w:val="28"/>
                <w:lang w:val="en-US"/>
              </w:rPr>
            </w:pPr>
            <w:r w:rsidRPr="00C904AE">
              <w:rPr>
                <w:rFonts w:ascii="Times New Roman" w:hAnsi="Times New Roman" w:cs="Times New Roman"/>
                <w:b/>
                <w:sz w:val="28"/>
                <w:szCs w:val="28"/>
                <w:lang w:val="en-US"/>
              </w:rPr>
              <w:t>131</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lang w:val="en-US"/>
              </w:rPr>
            </w:pPr>
            <w:r w:rsidRPr="00C904AE">
              <w:rPr>
                <w:rFonts w:ascii="Times New Roman" w:hAnsi="Times New Roman" w:cs="Times New Roman"/>
                <w:sz w:val="28"/>
                <w:szCs w:val="28"/>
                <w:lang w:val="en-US"/>
              </w:rPr>
              <w:t xml:space="preserve">DTF score for getting electricity (0–100)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60.89</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59.90</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72.96</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64.02</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proofErr w:type="spellStart"/>
            <w:r w:rsidRPr="00C904AE">
              <w:rPr>
                <w:rFonts w:ascii="Times New Roman" w:hAnsi="Times New Roman" w:cs="Times New Roman"/>
                <w:sz w:val="28"/>
                <w:szCs w:val="28"/>
              </w:rPr>
              <w:t>Procedures</w:t>
            </w:r>
            <w:proofErr w:type="spellEnd"/>
            <w:r w:rsidRPr="00C904AE">
              <w:rPr>
                <w:rFonts w:ascii="Times New Roman" w:hAnsi="Times New Roman" w:cs="Times New Roman"/>
                <w:sz w:val="28"/>
                <w:szCs w:val="28"/>
              </w:rPr>
              <w:t xml:space="preserve"> (</w:t>
            </w:r>
            <w:proofErr w:type="spellStart"/>
            <w:r w:rsidRPr="00C904AE">
              <w:rPr>
                <w:rFonts w:ascii="Times New Roman" w:hAnsi="Times New Roman" w:cs="Times New Roman"/>
                <w:sz w:val="28"/>
                <w:szCs w:val="28"/>
              </w:rPr>
              <w:t>number</w:t>
            </w:r>
            <w:proofErr w:type="spellEnd"/>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5.6</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7</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6</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5</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rPr>
            </w:pPr>
            <w:proofErr w:type="spellStart"/>
            <w:r w:rsidRPr="00C904AE">
              <w:rPr>
                <w:rFonts w:ascii="Times New Roman" w:hAnsi="Times New Roman" w:cs="Times New Roman"/>
                <w:sz w:val="28"/>
                <w:szCs w:val="28"/>
              </w:rPr>
              <w:t>Time</w:t>
            </w:r>
            <w:proofErr w:type="spellEnd"/>
            <w:r w:rsidRPr="00C904AE">
              <w:rPr>
                <w:rFonts w:ascii="Times New Roman" w:hAnsi="Times New Roman" w:cs="Times New Roman"/>
                <w:sz w:val="28"/>
                <w:szCs w:val="28"/>
              </w:rPr>
              <w:t xml:space="preserve"> (</w:t>
            </w:r>
            <w:proofErr w:type="spellStart"/>
            <w:r w:rsidRPr="00C904AE">
              <w:rPr>
                <w:rFonts w:ascii="Times New Roman" w:hAnsi="Times New Roman" w:cs="Times New Roman"/>
                <w:sz w:val="28"/>
                <w:szCs w:val="28"/>
              </w:rPr>
              <w:t>days</w:t>
            </w:r>
            <w:proofErr w:type="spellEnd"/>
            <w:r w:rsidRPr="00C904AE">
              <w:rPr>
                <w:rFonts w:ascii="Times New Roman" w:hAnsi="Times New Roman" w:cs="Times New Roman"/>
                <w:sz w:val="28"/>
                <w:szCs w:val="28"/>
              </w:rPr>
              <w:t xml:space="preserve">)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179.1</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131</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88</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187</w:t>
            </w:r>
          </w:p>
        </w:tc>
      </w:tr>
      <w:tr w:rsidR="00C904AE" w:rsidRPr="00C904AE" w:rsidTr="000E523D">
        <w:tc>
          <w:tcPr>
            <w:tcW w:w="4219" w:type="dxa"/>
          </w:tcPr>
          <w:p w:rsidR="00C904AE" w:rsidRPr="00C904AE" w:rsidRDefault="00C904AE" w:rsidP="000E523D">
            <w:pPr>
              <w:rPr>
                <w:rFonts w:ascii="Times New Roman" w:hAnsi="Times New Roman" w:cs="Times New Roman"/>
                <w:sz w:val="28"/>
                <w:szCs w:val="28"/>
                <w:lang w:val="en-US"/>
              </w:rPr>
            </w:pPr>
            <w:r w:rsidRPr="00C904AE">
              <w:rPr>
                <w:rFonts w:ascii="Times New Roman" w:hAnsi="Times New Roman" w:cs="Times New Roman"/>
                <w:sz w:val="28"/>
                <w:szCs w:val="28"/>
                <w:lang w:val="en-US"/>
              </w:rPr>
              <w:t xml:space="preserve">Cost (% of income per capita) </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321.0</w:t>
            </w:r>
          </w:p>
        </w:tc>
        <w:tc>
          <w:tcPr>
            <w:tcW w:w="1276"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364.1</w:t>
            </w:r>
          </w:p>
        </w:tc>
        <w:tc>
          <w:tcPr>
            <w:tcW w:w="992" w:type="dxa"/>
          </w:tcPr>
          <w:p w:rsidR="00C904AE" w:rsidRPr="00C904AE" w:rsidRDefault="00C904AE" w:rsidP="000E523D">
            <w:pPr>
              <w:jc w:val="center"/>
              <w:rPr>
                <w:rFonts w:ascii="Times New Roman" w:hAnsi="Times New Roman" w:cs="Times New Roman"/>
                <w:sz w:val="28"/>
                <w:szCs w:val="28"/>
              </w:rPr>
            </w:pPr>
            <w:r w:rsidRPr="00C904AE">
              <w:rPr>
                <w:rFonts w:ascii="Times New Roman" w:hAnsi="Times New Roman" w:cs="Times New Roman"/>
                <w:sz w:val="28"/>
                <w:szCs w:val="28"/>
                <w:lang w:val="en-US"/>
              </w:rPr>
              <w:t>56.6</w:t>
            </w:r>
          </w:p>
        </w:tc>
        <w:tc>
          <w:tcPr>
            <w:tcW w:w="992" w:type="dxa"/>
          </w:tcPr>
          <w:p w:rsidR="00C904AE" w:rsidRPr="00C904AE" w:rsidRDefault="00C904AE" w:rsidP="000E523D">
            <w:pPr>
              <w:jc w:val="center"/>
              <w:rPr>
                <w:rFonts w:ascii="Times New Roman" w:hAnsi="Times New Roman" w:cs="Times New Roman"/>
                <w:sz w:val="28"/>
                <w:szCs w:val="28"/>
                <w:lang w:val="en-US"/>
              </w:rPr>
            </w:pPr>
            <w:r w:rsidRPr="00C904AE">
              <w:rPr>
                <w:rFonts w:ascii="Times New Roman" w:hAnsi="Times New Roman" w:cs="Times New Roman"/>
                <w:sz w:val="28"/>
                <w:szCs w:val="28"/>
                <w:lang w:val="en-US"/>
              </w:rPr>
              <w:t>92.6</w:t>
            </w:r>
          </w:p>
        </w:tc>
      </w:tr>
    </w:tbl>
    <w:p w:rsidR="00C904AE" w:rsidRPr="00C904AE" w:rsidRDefault="00C904AE" w:rsidP="00C904AE">
      <w:pPr>
        <w:spacing w:before="240" w:after="0" w:line="240" w:lineRule="auto"/>
        <w:rPr>
          <w:rFonts w:ascii="Times New Roman" w:hAnsi="Times New Roman" w:cs="Times New Roman"/>
          <w:sz w:val="28"/>
          <w:szCs w:val="28"/>
          <w:lang w:val="en-US"/>
        </w:rPr>
      </w:pPr>
      <w:r w:rsidRPr="00C904AE">
        <w:rPr>
          <w:rFonts w:ascii="Times New Roman" w:hAnsi="Times New Roman" w:cs="Times New Roman"/>
          <w:sz w:val="28"/>
          <w:szCs w:val="28"/>
          <w:lang w:val="en-US"/>
        </w:rPr>
        <w:t>Source: Doing Business 2015. Going Beyond Efficiency.</w:t>
      </w:r>
    </w:p>
    <w:p w:rsidR="00D202AD" w:rsidRPr="00C904AE" w:rsidRDefault="00D202AD" w:rsidP="00A539E6">
      <w:pPr>
        <w:rPr>
          <w:rFonts w:ascii="Times New Roman" w:hAnsi="Times New Roman" w:cs="Times New Roman"/>
          <w:sz w:val="28"/>
          <w:szCs w:val="28"/>
          <w:lang w:val="en-US"/>
        </w:rPr>
      </w:pPr>
    </w:p>
    <w:sectPr w:rsidR="00D202AD" w:rsidRPr="00C904AE" w:rsidSect="000401FE">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040" w:rsidRDefault="00E93040" w:rsidP="00141C86">
      <w:pPr>
        <w:spacing w:after="0" w:line="240" w:lineRule="auto"/>
      </w:pPr>
      <w:r>
        <w:separator/>
      </w:r>
    </w:p>
  </w:endnote>
  <w:endnote w:type="continuationSeparator" w:id="0">
    <w:p w:rsidR="00E93040" w:rsidRDefault="00E93040" w:rsidP="00141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040" w:rsidRDefault="00E93040" w:rsidP="00141C86">
      <w:pPr>
        <w:spacing w:after="0" w:line="240" w:lineRule="auto"/>
      </w:pPr>
      <w:r>
        <w:separator/>
      </w:r>
    </w:p>
  </w:footnote>
  <w:footnote w:type="continuationSeparator" w:id="0">
    <w:p w:rsidR="00E93040" w:rsidRDefault="00E93040" w:rsidP="00141C86">
      <w:pPr>
        <w:spacing w:after="0" w:line="240" w:lineRule="auto"/>
      </w:pPr>
      <w:r>
        <w:continuationSeparator/>
      </w:r>
    </w:p>
  </w:footnote>
  <w:footnote w:id="1">
    <w:p w:rsidR="00E93040" w:rsidRPr="00F10DB1" w:rsidRDefault="00E93040">
      <w:pPr>
        <w:pStyle w:val="a3"/>
        <w:rPr>
          <w:rFonts w:ascii="Times New Roman" w:hAnsi="Times New Roman" w:cs="Times New Roman"/>
          <w:lang w:val="en-US"/>
        </w:rPr>
      </w:pPr>
      <w:r w:rsidRPr="00F10DB1">
        <w:rPr>
          <w:rStyle w:val="a5"/>
          <w:rFonts w:ascii="Times New Roman" w:hAnsi="Times New Roman" w:cs="Times New Roman"/>
        </w:rPr>
        <w:footnoteRef/>
      </w:r>
      <w:r w:rsidRPr="004A7235">
        <w:rPr>
          <w:rFonts w:ascii="Times New Roman" w:hAnsi="Times New Roman" w:cs="Times New Roman"/>
          <w:lang w:val="en-US"/>
        </w:rPr>
        <w:t xml:space="preserve"> </w:t>
      </w:r>
      <w:r w:rsidRPr="00F10DB1">
        <w:rPr>
          <w:rFonts w:ascii="Times New Roman" w:hAnsi="Times New Roman" w:cs="Times New Roman"/>
          <w:lang w:val="en-US"/>
        </w:rPr>
        <w:t>The WTO Chair Holder</w:t>
      </w:r>
    </w:p>
  </w:footnote>
  <w:footnote w:id="2">
    <w:p w:rsidR="00E93040" w:rsidRPr="00F43D1C" w:rsidRDefault="00E93040">
      <w:pPr>
        <w:pStyle w:val="a3"/>
        <w:rPr>
          <w:rFonts w:ascii="Times New Roman" w:hAnsi="Times New Roman" w:cs="Times New Roman"/>
          <w:lang w:val="en-US"/>
        </w:rPr>
      </w:pPr>
      <w:r w:rsidRPr="00F43D1C">
        <w:rPr>
          <w:rStyle w:val="a5"/>
          <w:rFonts w:ascii="Times New Roman" w:hAnsi="Times New Roman" w:cs="Times New Roman"/>
        </w:rPr>
        <w:footnoteRef/>
      </w:r>
      <w:r w:rsidRPr="00F43D1C">
        <w:rPr>
          <w:rFonts w:ascii="Times New Roman" w:hAnsi="Times New Roman" w:cs="Times New Roman"/>
          <w:lang w:val="en-US"/>
        </w:rPr>
        <w:t xml:space="preserve"> The Customs Union of the Russian Federation, the Republic of Belarus and the Republic of Kazakhstan. </w:t>
      </w:r>
    </w:p>
  </w:footnote>
  <w:footnote w:id="3">
    <w:p w:rsidR="00E93040" w:rsidRPr="00F43D1C" w:rsidRDefault="00E93040" w:rsidP="001C5C5C">
      <w:pPr>
        <w:pStyle w:val="Default"/>
        <w:rPr>
          <w:sz w:val="20"/>
          <w:szCs w:val="20"/>
          <w:lang w:val="en-US"/>
        </w:rPr>
      </w:pPr>
      <w:r w:rsidRPr="00F43D1C">
        <w:rPr>
          <w:rStyle w:val="a5"/>
          <w:sz w:val="20"/>
          <w:szCs w:val="20"/>
        </w:rPr>
        <w:footnoteRef/>
      </w:r>
      <w:r w:rsidRPr="00F43D1C">
        <w:rPr>
          <w:sz w:val="20"/>
          <w:szCs w:val="20"/>
          <w:lang w:val="en-US"/>
        </w:rPr>
        <w:t xml:space="preserve"> Treaty on the Eurasian Economic Union. Article 4. https://docs.eaeunion.org/ru-ru/Pages/DisplayDocument.aspx?s=bef9c798-3978-42f3-9ef2-d0fb3d53b75f&amp;w=632c7868-4ee2-4b21-bc64-1995328e6ef3&amp;l=540294ae-c3c9-4511-9bf8-aaf5d6e0d169&amp;EntityID=3610</w:t>
      </w:r>
    </w:p>
  </w:footnote>
  <w:footnote w:id="4">
    <w:p w:rsidR="00E93040" w:rsidRPr="00F43D1C" w:rsidRDefault="00E93040">
      <w:pPr>
        <w:pStyle w:val="a3"/>
        <w:rPr>
          <w:rFonts w:ascii="Times New Roman" w:hAnsi="Times New Roman" w:cs="Times New Roman"/>
          <w:lang w:val="en-US"/>
        </w:rPr>
      </w:pPr>
      <w:r w:rsidRPr="00F43D1C">
        <w:rPr>
          <w:rStyle w:val="a5"/>
          <w:rFonts w:ascii="Times New Roman" w:hAnsi="Times New Roman" w:cs="Times New Roman"/>
        </w:rPr>
        <w:footnoteRef/>
      </w:r>
      <w:r w:rsidRPr="004A7235">
        <w:rPr>
          <w:rFonts w:ascii="Times New Roman" w:hAnsi="Times New Roman" w:cs="Times New Roman"/>
          <w:lang w:val="en-US"/>
        </w:rPr>
        <w:t xml:space="preserve"> </w:t>
      </w:r>
      <w:r w:rsidRPr="00F43D1C">
        <w:rPr>
          <w:rFonts w:ascii="Times New Roman" w:hAnsi="Times New Roman" w:cs="Times New Roman"/>
          <w:lang w:val="en-US"/>
        </w:rPr>
        <w:t>Ibid. Preamble.</w:t>
      </w:r>
    </w:p>
  </w:footnote>
  <w:footnote w:id="5">
    <w:p w:rsidR="00E93040" w:rsidRPr="00F43D1C" w:rsidRDefault="00E93040">
      <w:pPr>
        <w:pStyle w:val="a3"/>
        <w:rPr>
          <w:rFonts w:ascii="Times New Roman" w:hAnsi="Times New Roman" w:cs="Times New Roman"/>
          <w:lang w:val="en-US"/>
        </w:rPr>
      </w:pPr>
      <w:r w:rsidRPr="00F43D1C">
        <w:rPr>
          <w:rStyle w:val="a5"/>
          <w:rFonts w:ascii="Times New Roman" w:hAnsi="Times New Roman" w:cs="Times New Roman"/>
        </w:rPr>
        <w:footnoteRef/>
      </w:r>
      <w:r w:rsidRPr="004A7235">
        <w:rPr>
          <w:rFonts w:ascii="Times New Roman" w:hAnsi="Times New Roman" w:cs="Times New Roman"/>
          <w:lang w:val="en-US"/>
        </w:rPr>
        <w:t xml:space="preserve"> </w:t>
      </w:r>
      <w:r w:rsidRPr="00F43D1C">
        <w:rPr>
          <w:rFonts w:ascii="Times New Roman" w:hAnsi="Times New Roman" w:cs="Times New Roman"/>
          <w:lang w:val="en-US"/>
        </w:rPr>
        <w:t>Ibid.</w:t>
      </w:r>
    </w:p>
  </w:footnote>
  <w:footnote w:id="6">
    <w:p w:rsidR="00E93040" w:rsidRPr="00F43D1C" w:rsidRDefault="00E93040" w:rsidP="00F43D1C">
      <w:pPr>
        <w:pStyle w:val="a3"/>
        <w:rPr>
          <w:rFonts w:ascii="Times New Roman" w:hAnsi="Times New Roman" w:cs="Times New Roman"/>
          <w:lang w:val="en-US"/>
        </w:rPr>
      </w:pPr>
      <w:r w:rsidRPr="00F43D1C">
        <w:rPr>
          <w:rStyle w:val="a5"/>
          <w:rFonts w:ascii="Times New Roman" w:hAnsi="Times New Roman" w:cs="Times New Roman"/>
        </w:rPr>
        <w:footnoteRef/>
      </w:r>
      <w:r w:rsidRPr="00F43D1C">
        <w:rPr>
          <w:rFonts w:ascii="Times New Roman" w:hAnsi="Times New Roman" w:cs="Times New Roman"/>
          <w:lang w:val="en-US"/>
        </w:rPr>
        <w:t xml:space="preserve"> Ibid. Section VII. REGULATION ON CIRCULATION OF MEDICINES AND MEDICAL PRODUCTS.</w:t>
      </w:r>
    </w:p>
  </w:footnote>
  <w:footnote w:id="7">
    <w:p w:rsidR="00E93040" w:rsidRPr="00823F7A" w:rsidRDefault="00E93040" w:rsidP="00F43D1C">
      <w:pPr>
        <w:pStyle w:val="Default"/>
        <w:rPr>
          <w:color w:val="auto"/>
          <w:sz w:val="20"/>
          <w:szCs w:val="20"/>
          <w:lang w:val="en-US"/>
        </w:rPr>
      </w:pPr>
      <w:r w:rsidRPr="00F43D1C">
        <w:rPr>
          <w:rStyle w:val="a5"/>
          <w:sz w:val="20"/>
          <w:szCs w:val="20"/>
        </w:rPr>
        <w:footnoteRef/>
      </w:r>
      <w:r w:rsidRPr="00F43D1C">
        <w:rPr>
          <w:sz w:val="20"/>
          <w:szCs w:val="20"/>
          <w:lang w:val="en-US"/>
        </w:rPr>
        <w:t xml:space="preserve"> </w:t>
      </w:r>
      <w:r w:rsidRPr="00F43D1C">
        <w:rPr>
          <w:color w:val="auto"/>
          <w:sz w:val="20"/>
          <w:szCs w:val="20"/>
          <w:lang w:val="en-US"/>
        </w:rPr>
        <w:t>Ibid. Section IX. FOREIGN TRADE POLICY</w:t>
      </w:r>
      <w:r>
        <w:rPr>
          <w:color w:val="auto"/>
          <w:sz w:val="20"/>
          <w:szCs w:val="20"/>
          <w:lang w:val="en-US"/>
        </w:rPr>
        <w:t>.</w:t>
      </w:r>
    </w:p>
  </w:footnote>
  <w:footnote w:id="8">
    <w:p w:rsidR="00E93040" w:rsidRPr="00050813" w:rsidRDefault="00E93040" w:rsidP="00283B70">
      <w:pPr>
        <w:pStyle w:val="Default"/>
        <w:rPr>
          <w:sz w:val="20"/>
          <w:szCs w:val="20"/>
          <w:lang w:val="en-US"/>
        </w:rPr>
      </w:pPr>
      <w:r w:rsidRPr="00050813">
        <w:rPr>
          <w:rStyle w:val="a5"/>
          <w:sz w:val="20"/>
          <w:szCs w:val="20"/>
        </w:rPr>
        <w:footnoteRef/>
      </w:r>
      <w:r w:rsidRPr="00050813">
        <w:rPr>
          <w:sz w:val="20"/>
          <w:szCs w:val="20"/>
          <w:lang w:val="en-US"/>
        </w:rPr>
        <w:t xml:space="preserve"> Ibid. Section X</w:t>
      </w:r>
      <w:r>
        <w:rPr>
          <w:sz w:val="20"/>
          <w:szCs w:val="20"/>
          <w:lang w:val="en-US"/>
        </w:rPr>
        <w:t xml:space="preserve">. </w:t>
      </w:r>
      <w:r w:rsidRPr="00050813">
        <w:rPr>
          <w:sz w:val="20"/>
          <w:szCs w:val="20"/>
          <w:lang w:val="en-US"/>
        </w:rPr>
        <w:t>TECHNICAL REGULATION</w:t>
      </w:r>
      <w:r>
        <w:rPr>
          <w:sz w:val="20"/>
          <w:szCs w:val="20"/>
          <w:lang w:val="en-US"/>
        </w:rPr>
        <w:t xml:space="preserve">. </w:t>
      </w:r>
      <w:r w:rsidRPr="00283B70">
        <w:rPr>
          <w:sz w:val="20"/>
          <w:szCs w:val="20"/>
          <w:lang w:val="en-US"/>
        </w:rPr>
        <w:t>Section XI</w:t>
      </w:r>
      <w:r>
        <w:rPr>
          <w:sz w:val="20"/>
          <w:szCs w:val="20"/>
          <w:lang w:val="en-US"/>
        </w:rPr>
        <w:t xml:space="preserve">. </w:t>
      </w:r>
      <w:r w:rsidRPr="00283B70">
        <w:rPr>
          <w:sz w:val="20"/>
          <w:szCs w:val="20"/>
          <w:lang w:val="en-US"/>
        </w:rPr>
        <w:t>SANITARY, VETERINARY-SANITARY AND PHYTOSANITARY QUARANTINE MEASURES</w:t>
      </w:r>
    </w:p>
  </w:footnote>
  <w:footnote w:id="9">
    <w:p w:rsidR="00E93040" w:rsidRPr="007C154A" w:rsidRDefault="00E93040" w:rsidP="007C154A">
      <w:pPr>
        <w:pStyle w:val="Default"/>
        <w:rPr>
          <w:sz w:val="20"/>
          <w:szCs w:val="20"/>
          <w:lang w:val="en-US"/>
        </w:rPr>
      </w:pPr>
      <w:r w:rsidRPr="007C154A">
        <w:rPr>
          <w:rStyle w:val="a5"/>
          <w:sz w:val="20"/>
          <w:szCs w:val="20"/>
        </w:rPr>
        <w:footnoteRef/>
      </w:r>
      <w:r w:rsidRPr="007C154A">
        <w:rPr>
          <w:sz w:val="20"/>
          <w:szCs w:val="20"/>
          <w:lang w:val="en-US"/>
        </w:rPr>
        <w:t xml:space="preserve"> Section XV. TRADE IN SERVICES, INCORPORATION, ACTIVITIES AND INVESTMENTS</w:t>
      </w:r>
    </w:p>
  </w:footnote>
  <w:footnote w:id="10">
    <w:p w:rsidR="00E93040" w:rsidRPr="007C154A" w:rsidRDefault="00E93040" w:rsidP="007C154A">
      <w:pPr>
        <w:spacing w:after="0"/>
        <w:jc w:val="both"/>
        <w:rPr>
          <w:rFonts w:ascii="Times New Roman" w:hAnsi="Times New Roman" w:cs="Times New Roman"/>
          <w:sz w:val="20"/>
          <w:szCs w:val="20"/>
          <w:lang w:val="en-US"/>
        </w:rPr>
      </w:pPr>
      <w:r w:rsidRPr="007C154A">
        <w:rPr>
          <w:rStyle w:val="a5"/>
          <w:rFonts w:ascii="Times New Roman" w:hAnsi="Times New Roman" w:cs="Times New Roman"/>
          <w:sz w:val="20"/>
          <w:szCs w:val="20"/>
        </w:rPr>
        <w:footnoteRef/>
      </w:r>
      <w:r w:rsidRPr="007C154A">
        <w:rPr>
          <w:rFonts w:ascii="Times New Roman" w:hAnsi="Times New Roman" w:cs="Times New Roman"/>
          <w:sz w:val="20"/>
          <w:szCs w:val="20"/>
          <w:lang w:val="en-US"/>
        </w:rPr>
        <w:t>Section XXIV – Manufacturing industry. Article 92</w:t>
      </w:r>
      <w:r>
        <w:rPr>
          <w:rFonts w:ascii="Times New Roman" w:hAnsi="Times New Roman" w:cs="Times New Roman"/>
          <w:sz w:val="20"/>
          <w:szCs w:val="20"/>
          <w:lang w:val="en-US"/>
        </w:rPr>
        <w:t>.</w:t>
      </w:r>
      <w:r w:rsidRPr="007C154A">
        <w:rPr>
          <w:rFonts w:ascii="Times New Roman" w:hAnsi="Times New Roman" w:cs="Times New Roman"/>
          <w:sz w:val="20"/>
          <w:szCs w:val="20"/>
          <w:lang w:val="en-US"/>
        </w:rPr>
        <w:t xml:space="preserve"> Industrial Policy and Cooperation</w:t>
      </w:r>
    </w:p>
  </w:footnote>
  <w:footnote w:id="11">
    <w:p w:rsidR="00E93040" w:rsidRPr="007C154A" w:rsidRDefault="00E93040" w:rsidP="007C154A">
      <w:pPr>
        <w:pStyle w:val="Default"/>
        <w:rPr>
          <w:sz w:val="20"/>
          <w:szCs w:val="20"/>
          <w:lang w:val="en-US"/>
        </w:rPr>
      </w:pPr>
      <w:r w:rsidRPr="007C154A">
        <w:rPr>
          <w:rStyle w:val="a5"/>
          <w:sz w:val="20"/>
          <w:szCs w:val="20"/>
        </w:rPr>
        <w:footnoteRef/>
      </w:r>
      <w:r w:rsidRPr="007C154A">
        <w:rPr>
          <w:sz w:val="20"/>
          <w:szCs w:val="20"/>
          <w:lang w:val="en-US"/>
        </w:rPr>
        <w:t xml:space="preserve"> Section XVII</w:t>
      </w:r>
      <w:r>
        <w:rPr>
          <w:sz w:val="20"/>
          <w:szCs w:val="20"/>
          <w:lang w:val="en-US"/>
        </w:rPr>
        <w:t>.</w:t>
      </w:r>
      <w:r w:rsidRPr="007C154A">
        <w:rPr>
          <w:sz w:val="20"/>
          <w:szCs w:val="20"/>
          <w:lang w:val="en-US"/>
        </w:rPr>
        <w:t xml:space="preserve"> TAXES AND TAXATION. Article 71</w:t>
      </w:r>
      <w:r>
        <w:rPr>
          <w:sz w:val="20"/>
          <w:szCs w:val="20"/>
          <w:lang w:val="en-US"/>
        </w:rPr>
        <w:t xml:space="preserve">. </w:t>
      </w:r>
      <w:r w:rsidRPr="007C154A">
        <w:rPr>
          <w:sz w:val="20"/>
          <w:szCs w:val="20"/>
          <w:lang w:val="en-US"/>
        </w:rPr>
        <w:t>Principles of Cooperation between the Member States in Taxation</w:t>
      </w:r>
    </w:p>
  </w:footnote>
  <w:footnote w:id="12">
    <w:p w:rsidR="00E93040" w:rsidRPr="007C154A" w:rsidRDefault="00E93040" w:rsidP="007C154A">
      <w:pPr>
        <w:pStyle w:val="Default"/>
        <w:rPr>
          <w:lang w:val="en-US"/>
        </w:rPr>
      </w:pPr>
      <w:r w:rsidRPr="007C154A">
        <w:rPr>
          <w:rStyle w:val="a5"/>
          <w:sz w:val="20"/>
          <w:szCs w:val="20"/>
        </w:rPr>
        <w:footnoteRef/>
      </w:r>
      <w:r w:rsidRPr="007C154A">
        <w:rPr>
          <w:sz w:val="20"/>
          <w:szCs w:val="20"/>
          <w:lang w:val="en-US"/>
        </w:rPr>
        <w:t xml:space="preserve"> STATUTE of the Court of the Eurasian Economic Union. ANNEX 2 to the Treaty on the Eurasian Economic Union. Chapter 1, </w:t>
      </w:r>
      <w:r>
        <w:rPr>
          <w:sz w:val="20"/>
          <w:szCs w:val="20"/>
          <w:lang w:val="en-US"/>
        </w:rPr>
        <w:t>Para</w:t>
      </w:r>
      <w:r w:rsidRPr="007C154A">
        <w:rPr>
          <w:sz w:val="20"/>
          <w:szCs w:val="20"/>
          <w:lang w:val="en-US"/>
        </w:rPr>
        <w:t>. 2.</w:t>
      </w:r>
    </w:p>
  </w:footnote>
  <w:footnote w:id="13">
    <w:p w:rsidR="00E93040" w:rsidRPr="001B7ABC" w:rsidRDefault="00E93040" w:rsidP="001B7ABC">
      <w:pPr>
        <w:pStyle w:val="a3"/>
        <w:rPr>
          <w:rFonts w:ascii="Times New Roman" w:hAnsi="Times New Roman" w:cs="Times New Roman"/>
          <w:lang w:val="en-US"/>
        </w:rPr>
      </w:pPr>
      <w:r w:rsidRPr="001B7ABC">
        <w:rPr>
          <w:rStyle w:val="a5"/>
          <w:rFonts w:ascii="Times New Roman" w:hAnsi="Times New Roman" w:cs="Times New Roman"/>
        </w:rPr>
        <w:footnoteRef/>
      </w:r>
      <w:r w:rsidRPr="001B7ABC">
        <w:rPr>
          <w:rFonts w:ascii="Times New Roman" w:hAnsi="Times New Roman" w:cs="Times New Roman"/>
          <w:lang w:val="en-US"/>
        </w:rPr>
        <w:t xml:space="preserve"> On the results of the mutual trade Between CU and Single Economic Space countries. January</w:t>
      </w:r>
      <w:r w:rsidRPr="00434498">
        <w:rPr>
          <w:rFonts w:ascii="Times New Roman" w:hAnsi="Times New Roman" w:cs="Times New Roman"/>
          <w:lang w:val="en-US"/>
        </w:rPr>
        <w:t>-</w:t>
      </w:r>
      <w:r w:rsidRPr="001B7ABC">
        <w:rPr>
          <w:rFonts w:ascii="Times New Roman" w:hAnsi="Times New Roman" w:cs="Times New Roman"/>
          <w:lang w:val="en-US"/>
        </w:rPr>
        <w:t>December</w:t>
      </w:r>
      <w:r w:rsidRPr="00434498">
        <w:rPr>
          <w:rFonts w:ascii="Times New Roman" w:hAnsi="Times New Roman" w:cs="Times New Roman"/>
          <w:lang w:val="en-US"/>
        </w:rPr>
        <w:t>, 2015</w:t>
      </w:r>
      <w:r>
        <w:rPr>
          <w:rFonts w:ascii="Times New Roman" w:hAnsi="Times New Roman" w:cs="Times New Roman"/>
          <w:lang w:val="en-US"/>
        </w:rPr>
        <w:t>. Analytical report</w:t>
      </w:r>
      <w:r w:rsidRPr="001B7ABC">
        <w:rPr>
          <w:rFonts w:ascii="Times New Roman" w:hAnsi="Times New Roman" w:cs="Times New Roman"/>
          <w:lang w:val="en-US"/>
        </w:rPr>
        <w:t>. Eurasian Economic Commission.</w:t>
      </w:r>
      <w:r w:rsidRPr="00434498">
        <w:rPr>
          <w:rFonts w:ascii="Times New Roman" w:hAnsi="Times New Roman" w:cs="Times New Roman"/>
          <w:lang w:val="en-US"/>
        </w:rPr>
        <w:t xml:space="preserve"> </w:t>
      </w:r>
      <w:r w:rsidRPr="001B7ABC">
        <w:rPr>
          <w:rFonts w:ascii="Times New Roman" w:hAnsi="Times New Roman" w:cs="Times New Roman"/>
          <w:lang w:val="en-US"/>
        </w:rPr>
        <w:t>25.02.15</w:t>
      </w:r>
    </w:p>
  </w:footnote>
  <w:footnote w:id="14">
    <w:p w:rsidR="00E93040" w:rsidRPr="007C5BF2" w:rsidRDefault="00E93040">
      <w:pPr>
        <w:pStyle w:val="a3"/>
        <w:rPr>
          <w:rFonts w:ascii="Times New Roman" w:hAnsi="Times New Roman" w:cs="Times New Roman"/>
          <w:lang w:val="en-US"/>
        </w:rPr>
      </w:pPr>
      <w:r w:rsidRPr="007C5BF2">
        <w:rPr>
          <w:rStyle w:val="a5"/>
          <w:rFonts w:ascii="Times New Roman" w:hAnsi="Times New Roman" w:cs="Times New Roman"/>
        </w:rPr>
        <w:footnoteRef/>
      </w:r>
      <w:r w:rsidRPr="007C5BF2">
        <w:rPr>
          <w:rFonts w:ascii="Times New Roman" w:hAnsi="Times New Roman" w:cs="Times New Roman"/>
          <w:lang w:val="en-US"/>
        </w:rPr>
        <w:t xml:space="preserve"> For example, Belarus receives Russian oil for refinery purposes.</w:t>
      </w:r>
    </w:p>
  </w:footnote>
  <w:footnote w:id="15">
    <w:p w:rsidR="00E93040" w:rsidRPr="0095279E" w:rsidRDefault="00E93040">
      <w:pPr>
        <w:pStyle w:val="a3"/>
        <w:rPr>
          <w:rFonts w:ascii="Times New Roman" w:hAnsi="Times New Roman" w:cs="Times New Roman"/>
          <w:lang w:val="en-US"/>
        </w:rPr>
      </w:pPr>
      <w:r w:rsidRPr="0095279E">
        <w:rPr>
          <w:rStyle w:val="a5"/>
          <w:rFonts w:ascii="Times New Roman" w:hAnsi="Times New Roman" w:cs="Times New Roman"/>
        </w:rPr>
        <w:footnoteRef/>
      </w:r>
      <w:r w:rsidRPr="0095279E">
        <w:rPr>
          <w:rFonts w:ascii="Times New Roman" w:hAnsi="Times New Roman" w:cs="Times New Roman"/>
          <w:lang w:val="en-US"/>
        </w:rPr>
        <w:t xml:space="preserve"> In 2014 trade in intermediary goods within the EAEU decreased by 15% in comparison with the previous year.</w:t>
      </w:r>
    </w:p>
  </w:footnote>
  <w:footnote w:id="16">
    <w:p w:rsidR="00E93040" w:rsidRPr="00F22B57" w:rsidRDefault="00E93040">
      <w:pPr>
        <w:pStyle w:val="a3"/>
        <w:rPr>
          <w:rFonts w:ascii="Times New Roman" w:hAnsi="Times New Roman" w:cs="Times New Roman"/>
          <w:lang w:val="en-US"/>
        </w:rPr>
      </w:pPr>
      <w:r w:rsidRPr="00F22B57">
        <w:rPr>
          <w:rStyle w:val="a5"/>
          <w:rFonts w:ascii="Times New Roman" w:hAnsi="Times New Roman" w:cs="Times New Roman"/>
        </w:rPr>
        <w:footnoteRef/>
      </w:r>
      <w:r w:rsidRPr="00F22B57">
        <w:rPr>
          <w:rFonts w:ascii="Times New Roman" w:hAnsi="Times New Roman" w:cs="Times New Roman"/>
          <w:lang w:val="en-US"/>
        </w:rPr>
        <w:t xml:space="preserve"> About Gazprom Armenia. http://armenia.gazprom.ru/</w:t>
      </w:r>
    </w:p>
  </w:footnote>
  <w:footnote w:id="17">
    <w:p w:rsidR="00E93040" w:rsidRPr="00F22B57" w:rsidRDefault="00E93040">
      <w:pPr>
        <w:pStyle w:val="a3"/>
        <w:rPr>
          <w:lang w:val="en-US"/>
        </w:rPr>
      </w:pPr>
      <w:r>
        <w:rPr>
          <w:rStyle w:val="a5"/>
        </w:rPr>
        <w:footnoteRef/>
      </w:r>
      <w:r w:rsidRPr="00F22B57">
        <w:rPr>
          <w:lang w:val="en-US"/>
        </w:rPr>
        <w:t xml:space="preserve"> </w:t>
      </w:r>
      <w:r w:rsidRPr="008859F4">
        <w:rPr>
          <w:rFonts w:ascii="Times New Roman" w:hAnsi="Times New Roman" w:cs="Times New Roman"/>
          <w:color w:val="404040"/>
          <w:lang w:val="en-US"/>
        </w:rPr>
        <w:t>Stephenson</w:t>
      </w:r>
      <w:r>
        <w:rPr>
          <w:rFonts w:ascii="Times New Roman" w:hAnsi="Times New Roman" w:cs="Times New Roman"/>
          <w:color w:val="404040"/>
          <w:lang w:val="en-US"/>
        </w:rPr>
        <w:t xml:space="preserve">. S. </w:t>
      </w:r>
      <w:r w:rsidRPr="008859F4">
        <w:rPr>
          <w:rFonts w:ascii="Times New Roman" w:hAnsi="Times New Roman" w:cs="Times New Roman"/>
          <w:color w:val="404040"/>
          <w:lang w:val="en-US"/>
        </w:rPr>
        <w:t>Global Value Chains:</w:t>
      </w:r>
      <w:r>
        <w:rPr>
          <w:rFonts w:ascii="Times New Roman" w:hAnsi="Times New Roman" w:cs="Times New Roman"/>
          <w:color w:val="404040"/>
          <w:lang w:val="en-US"/>
        </w:rPr>
        <w:t xml:space="preserve"> </w:t>
      </w:r>
      <w:r w:rsidRPr="008859F4">
        <w:rPr>
          <w:rFonts w:ascii="Times New Roman" w:hAnsi="Times New Roman" w:cs="Times New Roman"/>
          <w:color w:val="404040"/>
          <w:lang w:val="en-US"/>
        </w:rPr>
        <w:t>The New Reality of International Trade</w:t>
      </w:r>
      <w:r>
        <w:rPr>
          <w:rFonts w:ascii="Times New Roman" w:hAnsi="Times New Roman" w:cs="Times New Roman"/>
          <w:color w:val="404040"/>
          <w:lang w:val="en-US"/>
        </w:rPr>
        <w:t xml:space="preserve">. </w:t>
      </w:r>
      <w:r w:rsidRPr="008859F4">
        <w:rPr>
          <w:rFonts w:ascii="Times New Roman" w:hAnsi="Times New Roman" w:cs="Times New Roman"/>
          <w:color w:val="404040"/>
          <w:lang w:val="en-US"/>
        </w:rPr>
        <w:t>Strengthening the Global Trade System</w:t>
      </w:r>
      <w:r>
        <w:rPr>
          <w:rFonts w:ascii="Times New Roman" w:hAnsi="Times New Roman" w:cs="Times New Roman"/>
          <w:color w:val="404040"/>
          <w:lang w:val="en-US"/>
        </w:rPr>
        <w:t>. ICTSD,</w:t>
      </w:r>
      <w:r w:rsidRPr="008859F4">
        <w:rPr>
          <w:rFonts w:ascii="Times New Roman" w:hAnsi="Times New Roman" w:cs="Times New Roman"/>
          <w:color w:val="404040"/>
          <w:lang w:val="en-US"/>
        </w:rPr>
        <w:t xml:space="preserve"> December 2013</w:t>
      </w:r>
      <w:r>
        <w:rPr>
          <w:rFonts w:ascii="Times New Roman" w:hAnsi="Times New Roman" w:cs="Times New Roman"/>
          <w:color w:val="404040"/>
          <w:lang w:val="en-US"/>
        </w:rPr>
        <w:t>.</w:t>
      </w:r>
    </w:p>
  </w:footnote>
  <w:footnote w:id="18">
    <w:p w:rsidR="00E93040" w:rsidRPr="008859F4" w:rsidRDefault="00E93040" w:rsidP="008859F4">
      <w:pPr>
        <w:pStyle w:val="a3"/>
        <w:rPr>
          <w:lang w:val="en-US"/>
        </w:rPr>
      </w:pPr>
      <w:r>
        <w:rPr>
          <w:rStyle w:val="a5"/>
        </w:rPr>
        <w:footnoteRef/>
      </w:r>
      <w:r w:rsidRPr="008859F4">
        <w:rPr>
          <w:lang w:val="en-US"/>
        </w:rPr>
        <w:t xml:space="preserve"> </w:t>
      </w:r>
      <w:r>
        <w:rPr>
          <w:rFonts w:ascii="Times New Roman" w:hAnsi="Times New Roman" w:cs="Times New Roman"/>
          <w:color w:val="404040"/>
          <w:lang w:val="en-US"/>
        </w:rPr>
        <w:t>Ibid.</w:t>
      </w:r>
    </w:p>
  </w:footnote>
  <w:footnote w:id="19">
    <w:p w:rsidR="00E93040" w:rsidRPr="00806480" w:rsidRDefault="00E93040">
      <w:pPr>
        <w:pStyle w:val="a3"/>
        <w:rPr>
          <w:rFonts w:ascii="Times New Roman" w:hAnsi="Times New Roman" w:cs="Times New Roman"/>
          <w:lang w:val="en-US"/>
        </w:rPr>
      </w:pPr>
      <w:r w:rsidRPr="00806480">
        <w:rPr>
          <w:rStyle w:val="a5"/>
          <w:rFonts w:ascii="Times New Roman" w:hAnsi="Times New Roman" w:cs="Times New Roman"/>
        </w:rPr>
        <w:footnoteRef/>
      </w:r>
      <w:r w:rsidRPr="00806480">
        <w:rPr>
          <w:rFonts w:ascii="Times New Roman" w:hAnsi="Times New Roman" w:cs="Times New Roman"/>
          <w:lang w:val="en-US"/>
        </w:rPr>
        <w:t xml:space="preserve"> Doing Business 2015. Going Beyond Efficiency.</w:t>
      </w:r>
    </w:p>
  </w:footnote>
  <w:footnote w:id="20">
    <w:p w:rsidR="00E93040" w:rsidRPr="00895BD0" w:rsidRDefault="00E93040" w:rsidP="00895BD0">
      <w:pPr>
        <w:pStyle w:val="a3"/>
        <w:rPr>
          <w:rFonts w:ascii="Times New Roman" w:hAnsi="Times New Roman" w:cs="Times New Roman"/>
          <w:lang w:val="en-US"/>
        </w:rPr>
      </w:pPr>
      <w:r w:rsidRPr="00895BD0">
        <w:rPr>
          <w:rStyle w:val="a5"/>
          <w:rFonts w:ascii="Times New Roman" w:hAnsi="Times New Roman" w:cs="Times New Roman"/>
        </w:rPr>
        <w:footnoteRef/>
      </w:r>
      <w:r w:rsidRPr="00895BD0">
        <w:rPr>
          <w:rFonts w:ascii="Times New Roman" w:hAnsi="Times New Roman" w:cs="Times New Roman"/>
          <w:lang w:val="en-US"/>
        </w:rPr>
        <w:t xml:space="preserve"> Assessment of on-tariff barriers in the EAEU: results of business surveys. Report 30. </w:t>
      </w:r>
      <w:r>
        <w:rPr>
          <w:rFonts w:ascii="Times New Roman" w:hAnsi="Times New Roman" w:cs="Times New Roman"/>
          <w:lang w:val="en-US"/>
        </w:rPr>
        <w:t xml:space="preserve">Eurasian Bank of Development. St. Petersburg, 2015. </w:t>
      </w:r>
      <w:hyperlink r:id="rId1" w:tgtFrame="_blank" w:history="1">
        <w:r w:rsidRPr="00895BD0">
          <w:rPr>
            <w:rStyle w:val="a8"/>
            <w:rFonts w:ascii="Times New Roman" w:hAnsi="Times New Roman" w:cs="Times New Roman"/>
            <w:color w:val="660099"/>
            <w:shd w:val="clear" w:color="auto" w:fill="FFFFFF"/>
            <w:lang w:val="en-US"/>
          </w:rPr>
          <w:t>http://www.eabr.org/r/research/centre/projectsCII/projects_cii/index.php?id_4=47862&amp;linked_block_id=0</w:t>
        </w:r>
      </w:hyperlink>
    </w:p>
  </w:footnote>
  <w:footnote w:id="21">
    <w:p w:rsidR="00E93040" w:rsidRPr="00A32893" w:rsidRDefault="00E93040">
      <w:pPr>
        <w:pStyle w:val="a3"/>
        <w:rPr>
          <w:rFonts w:ascii="Times New Roman" w:hAnsi="Times New Roman" w:cs="Times New Roman"/>
          <w:lang w:val="en-US"/>
        </w:rPr>
      </w:pPr>
      <w:r w:rsidRPr="00A32893">
        <w:rPr>
          <w:rStyle w:val="a5"/>
          <w:rFonts w:ascii="Times New Roman" w:hAnsi="Times New Roman" w:cs="Times New Roman"/>
        </w:rPr>
        <w:footnoteRef/>
      </w:r>
      <w:r w:rsidRPr="00A32893">
        <w:rPr>
          <w:rFonts w:ascii="Times New Roman" w:hAnsi="Times New Roman" w:cs="Times New Roman"/>
          <w:lang w:val="en-US"/>
        </w:rPr>
        <w:t xml:space="preserve"> The Caucasus-</w:t>
      </w:r>
      <w:proofErr w:type="spellStart"/>
      <w:r w:rsidRPr="00A32893">
        <w:rPr>
          <w:rFonts w:ascii="Times New Roman" w:hAnsi="Times New Roman" w:cs="Times New Roman"/>
          <w:lang w:val="en-US"/>
        </w:rPr>
        <w:t>Poti</w:t>
      </w:r>
      <w:proofErr w:type="spellEnd"/>
      <w:r w:rsidRPr="00A32893">
        <w:rPr>
          <w:rFonts w:ascii="Times New Roman" w:hAnsi="Times New Roman" w:cs="Times New Roman"/>
          <w:lang w:val="en-US"/>
        </w:rPr>
        <w:t xml:space="preserve"> railway-ferry route came to operation in 2007</w:t>
      </w:r>
      <w:r>
        <w:rPr>
          <w:rFonts w:ascii="Times New Roman" w:hAnsi="Times New Roman" w:cs="Times New Roman"/>
          <w:lang w:val="en-US"/>
        </w:rPr>
        <w:t xml:space="preserve">. Russia supplies </w:t>
      </w:r>
      <w:r w:rsidRPr="00A32893">
        <w:rPr>
          <w:rFonts w:ascii="Times New Roman" w:hAnsi="Times New Roman" w:cs="Times New Roman"/>
          <w:lang w:val="en-US"/>
        </w:rPr>
        <w:t>grain and food products</w:t>
      </w:r>
      <w:r>
        <w:rPr>
          <w:rFonts w:ascii="Times New Roman" w:hAnsi="Times New Roman" w:cs="Times New Roman"/>
          <w:lang w:val="en-US"/>
        </w:rPr>
        <w:t xml:space="preserve"> to Armenia, while imports construction </w:t>
      </w:r>
      <w:r w:rsidRPr="00A32893">
        <w:rPr>
          <w:rFonts w:ascii="Times New Roman" w:hAnsi="Times New Roman" w:cs="Times New Roman"/>
          <w:lang w:val="en-US"/>
        </w:rPr>
        <w:t>materials.</w:t>
      </w:r>
      <w:r>
        <w:rPr>
          <w:rFonts w:ascii="Times New Roman" w:hAnsi="Times New Roman" w:cs="Times New Roman"/>
          <w:lang w:val="en-US"/>
        </w:rPr>
        <w:t xml:space="preserve"> At the same time </w:t>
      </w:r>
      <w:r w:rsidRPr="00A32893">
        <w:rPr>
          <w:rFonts w:ascii="Times New Roman" w:hAnsi="Times New Roman" w:cs="Times New Roman"/>
          <w:lang w:val="en-US"/>
        </w:rPr>
        <w:t>forwarding agent</w:t>
      </w:r>
      <w:r>
        <w:rPr>
          <w:rFonts w:ascii="Times New Roman" w:hAnsi="Times New Roman" w:cs="Times New Roman"/>
          <w:lang w:val="en-US"/>
        </w:rPr>
        <w:t>s complain about high costs of transportations services.</w:t>
      </w:r>
    </w:p>
  </w:footnote>
  <w:footnote w:id="22">
    <w:p w:rsidR="00E93040" w:rsidRPr="007C5BF2" w:rsidRDefault="00E93040" w:rsidP="007C5BF2">
      <w:pPr>
        <w:spacing w:after="0" w:line="240" w:lineRule="auto"/>
        <w:jc w:val="both"/>
        <w:rPr>
          <w:rFonts w:ascii="Times New Roman" w:hAnsi="Times New Roman" w:cs="Times New Roman"/>
          <w:sz w:val="20"/>
          <w:szCs w:val="20"/>
          <w:lang w:val="en-US"/>
        </w:rPr>
      </w:pPr>
      <w:r w:rsidRPr="007C5BF2">
        <w:rPr>
          <w:rStyle w:val="a5"/>
          <w:rFonts w:ascii="Times New Roman" w:hAnsi="Times New Roman" w:cs="Times New Roman"/>
          <w:sz w:val="20"/>
          <w:szCs w:val="20"/>
        </w:rPr>
        <w:footnoteRef/>
      </w:r>
      <w:r w:rsidRPr="007C5BF2">
        <w:rPr>
          <w:rFonts w:ascii="Times New Roman" w:hAnsi="Times New Roman" w:cs="Times New Roman"/>
          <w:sz w:val="20"/>
          <w:szCs w:val="20"/>
          <w:lang w:val="en-US"/>
        </w:rPr>
        <w:t xml:space="preserve"> The logistics performance (LPI) is the weighted average of the country scores on the six key dimensions: </w:t>
      </w:r>
      <w:r w:rsidRPr="007C5BF2">
        <w:rPr>
          <w:rFonts w:ascii="Times New Roman" w:hAnsi="Times New Roman" w:cs="Times New Roman"/>
          <w:sz w:val="20"/>
          <w:szCs w:val="20"/>
          <w:lang w:val="en-US"/>
        </w:rPr>
        <w:br/>
        <w:t>1) Efficiency of the clearance process (i.e., speed, simplicity and predictability of formalities) by border control agencies, including customs;</w:t>
      </w:r>
    </w:p>
    <w:p w:rsidR="00E93040" w:rsidRPr="007C5BF2" w:rsidRDefault="00E93040" w:rsidP="007C5BF2">
      <w:pPr>
        <w:spacing w:after="0" w:line="240" w:lineRule="auto"/>
        <w:jc w:val="both"/>
        <w:rPr>
          <w:rFonts w:ascii="Times New Roman" w:hAnsi="Times New Roman" w:cs="Times New Roman"/>
          <w:sz w:val="20"/>
          <w:szCs w:val="20"/>
          <w:lang w:val="en-US"/>
        </w:rPr>
      </w:pPr>
      <w:r w:rsidRPr="007C5BF2">
        <w:rPr>
          <w:rFonts w:ascii="Times New Roman" w:hAnsi="Times New Roman" w:cs="Times New Roman"/>
          <w:sz w:val="20"/>
          <w:szCs w:val="20"/>
          <w:lang w:val="en-US"/>
        </w:rPr>
        <w:t>2) Quality of trade and transport related infrastructure (e.g., ports, railroads, roads, information technology);</w:t>
      </w:r>
    </w:p>
    <w:p w:rsidR="00E93040" w:rsidRPr="007C5BF2" w:rsidRDefault="00E93040" w:rsidP="007C5BF2">
      <w:pPr>
        <w:spacing w:after="0" w:line="240" w:lineRule="auto"/>
        <w:jc w:val="both"/>
        <w:rPr>
          <w:rFonts w:ascii="Times New Roman" w:hAnsi="Times New Roman" w:cs="Times New Roman"/>
          <w:sz w:val="20"/>
          <w:szCs w:val="20"/>
          <w:lang w:val="en-US"/>
        </w:rPr>
      </w:pPr>
      <w:r w:rsidRPr="007C5BF2">
        <w:rPr>
          <w:rFonts w:ascii="Times New Roman" w:hAnsi="Times New Roman" w:cs="Times New Roman"/>
          <w:sz w:val="20"/>
          <w:szCs w:val="20"/>
          <w:lang w:val="en-US"/>
        </w:rPr>
        <w:t>3) Ease of arranging competitively priced shipments;</w:t>
      </w:r>
    </w:p>
    <w:p w:rsidR="00E93040" w:rsidRPr="007C5BF2" w:rsidRDefault="00E93040" w:rsidP="007C5BF2">
      <w:pPr>
        <w:spacing w:after="0" w:line="240" w:lineRule="auto"/>
        <w:jc w:val="both"/>
        <w:rPr>
          <w:rFonts w:ascii="Times New Roman" w:hAnsi="Times New Roman" w:cs="Times New Roman"/>
          <w:sz w:val="20"/>
          <w:szCs w:val="20"/>
          <w:lang w:val="en-US"/>
        </w:rPr>
      </w:pPr>
      <w:r w:rsidRPr="007C5BF2">
        <w:rPr>
          <w:rFonts w:ascii="Times New Roman" w:hAnsi="Times New Roman" w:cs="Times New Roman"/>
          <w:sz w:val="20"/>
          <w:szCs w:val="20"/>
          <w:lang w:val="en-US"/>
        </w:rPr>
        <w:t>4) Competence and quality of logistics services (e.g., transport operators, customs brokers);</w:t>
      </w:r>
    </w:p>
    <w:p w:rsidR="00E93040" w:rsidRPr="007C5BF2" w:rsidRDefault="00E93040" w:rsidP="007C5BF2">
      <w:pPr>
        <w:spacing w:after="0" w:line="240" w:lineRule="auto"/>
        <w:jc w:val="both"/>
        <w:rPr>
          <w:rFonts w:ascii="Times New Roman" w:hAnsi="Times New Roman" w:cs="Times New Roman"/>
          <w:sz w:val="20"/>
          <w:szCs w:val="20"/>
          <w:lang w:val="en-US"/>
        </w:rPr>
      </w:pPr>
      <w:r w:rsidRPr="007C5BF2">
        <w:rPr>
          <w:rFonts w:ascii="Times New Roman" w:hAnsi="Times New Roman" w:cs="Times New Roman"/>
          <w:sz w:val="20"/>
          <w:szCs w:val="20"/>
          <w:lang w:val="en-US"/>
        </w:rPr>
        <w:t>5) Ability to track and trace consignments;</w:t>
      </w:r>
    </w:p>
    <w:p w:rsidR="00E93040" w:rsidRPr="007C5BF2" w:rsidRDefault="00E93040" w:rsidP="007C5BF2">
      <w:pPr>
        <w:spacing w:after="0" w:line="240" w:lineRule="auto"/>
        <w:jc w:val="both"/>
        <w:rPr>
          <w:rFonts w:ascii="Times New Roman" w:hAnsi="Times New Roman" w:cs="Times New Roman"/>
          <w:sz w:val="20"/>
          <w:szCs w:val="20"/>
          <w:lang w:val="en-US"/>
        </w:rPr>
      </w:pPr>
      <w:r w:rsidRPr="007C5BF2">
        <w:rPr>
          <w:rFonts w:ascii="Times New Roman" w:hAnsi="Times New Roman" w:cs="Times New Roman"/>
          <w:sz w:val="20"/>
          <w:szCs w:val="20"/>
          <w:lang w:val="en-US"/>
        </w:rPr>
        <w:t>6) Timeliness of shipments in reaching destination within the scheduled or expected delivery time.</w:t>
      </w:r>
    </w:p>
  </w:footnote>
  <w:footnote w:id="23">
    <w:p w:rsidR="00E93040" w:rsidRPr="004D6F82" w:rsidRDefault="00E93040" w:rsidP="004D6F82">
      <w:pPr>
        <w:spacing w:after="0"/>
        <w:rPr>
          <w:rFonts w:ascii="Times New Roman" w:hAnsi="Times New Roman" w:cs="Times New Roman"/>
          <w:sz w:val="20"/>
          <w:szCs w:val="20"/>
          <w:lang w:val="en-US"/>
        </w:rPr>
      </w:pPr>
      <w:r w:rsidRPr="008A189D">
        <w:rPr>
          <w:rStyle w:val="a5"/>
          <w:rFonts w:ascii="Times New Roman" w:hAnsi="Times New Roman" w:cs="Times New Roman"/>
          <w:sz w:val="20"/>
          <w:szCs w:val="20"/>
        </w:rPr>
        <w:footnoteRef/>
      </w:r>
      <w:r w:rsidRPr="008A189D">
        <w:rPr>
          <w:rFonts w:ascii="Times New Roman" w:hAnsi="Times New Roman" w:cs="Times New Roman"/>
          <w:sz w:val="20"/>
          <w:szCs w:val="20"/>
          <w:lang w:val="en-US"/>
        </w:rPr>
        <w:t xml:space="preserve"> </w:t>
      </w:r>
      <w:proofErr w:type="spellStart"/>
      <w:r w:rsidRPr="008A189D">
        <w:rPr>
          <w:rFonts w:ascii="Times New Roman" w:hAnsi="Times New Roman" w:cs="Times New Roman"/>
          <w:sz w:val="20"/>
          <w:szCs w:val="20"/>
          <w:lang w:val="en-US"/>
        </w:rPr>
        <w:t>Rakhimberdinova</w:t>
      </w:r>
      <w:proofErr w:type="spellEnd"/>
      <w:r w:rsidRPr="008A189D">
        <w:rPr>
          <w:rFonts w:ascii="Times New Roman" w:hAnsi="Times New Roman" w:cs="Times New Roman"/>
          <w:sz w:val="20"/>
          <w:szCs w:val="20"/>
          <w:lang w:val="en-US"/>
        </w:rPr>
        <w:t xml:space="preserve"> M. Analysis of the current stage of Kazakhstan’s transportation infrastructure. In: </w:t>
      </w:r>
      <w:proofErr w:type="spellStart"/>
      <w:r w:rsidRPr="004D6F82">
        <w:rPr>
          <w:rFonts w:ascii="Times New Roman" w:hAnsi="Times New Roman" w:cs="Times New Roman"/>
          <w:sz w:val="20"/>
          <w:szCs w:val="20"/>
          <w:lang w:val="en-US"/>
        </w:rPr>
        <w:t>Mnogogrannost</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otsenki</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biznesa</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problemy</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i</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perspektivy</w:t>
      </w:r>
      <w:proofErr w:type="spellEnd"/>
      <w:r w:rsidRPr="004D6F82">
        <w:rPr>
          <w:rFonts w:ascii="Times New Roman" w:hAnsi="Times New Roman" w:cs="Times New Roman"/>
          <w:sz w:val="20"/>
          <w:szCs w:val="20"/>
          <w:lang w:val="en-US"/>
        </w:rPr>
        <w:t xml:space="preserve"> v </w:t>
      </w:r>
      <w:proofErr w:type="spellStart"/>
      <w:r w:rsidRPr="004D6F82">
        <w:rPr>
          <w:rFonts w:ascii="Times New Roman" w:hAnsi="Times New Roman" w:cs="Times New Roman"/>
          <w:sz w:val="20"/>
          <w:szCs w:val="20"/>
          <w:lang w:val="en-US"/>
        </w:rPr>
        <w:t>ysliviakh</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formirovania</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naukoemkoi</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economici</w:t>
      </w:r>
      <w:proofErr w:type="spellEnd"/>
      <w:r w:rsidRPr="004D6F82">
        <w:rPr>
          <w:rFonts w:ascii="Times New Roman" w:hAnsi="Times New Roman" w:cs="Times New Roman"/>
          <w:sz w:val="20"/>
          <w:szCs w:val="20"/>
          <w:lang w:val="en-US"/>
        </w:rPr>
        <w:t xml:space="preserve">. </w:t>
      </w:r>
      <w:proofErr w:type="spellStart"/>
      <w:r w:rsidRPr="004D6F82">
        <w:rPr>
          <w:rFonts w:ascii="Times New Roman" w:hAnsi="Times New Roman" w:cs="Times New Roman"/>
          <w:sz w:val="20"/>
          <w:szCs w:val="20"/>
          <w:lang w:val="en-US"/>
        </w:rPr>
        <w:t>Almaty</w:t>
      </w:r>
      <w:proofErr w:type="spellEnd"/>
      <w:r w:rsidRPr="004D6F82">
        <w:rPr>
          <w:rFonts w:ascii="Times New Roman" w:hAnsi="Times New Roman" w:cs="Times New Roman"/>
          <w:sz w:val="20"/>
          <w:szCs w:val="20"/>
          <w:lang w:val="en-US"/>
        </w:rPr>
        <w:t>, 2014.</w:t>
      </w:r>
    </w:p>
  </w:footnote>
  <w:footnote w:id="24">
    <w:p w:rsidR="00E93040" w:rsidRPr="004D6F82" w:rsidRDefault="00E93040" w:rsidP="004D6F82">
      <w:pPr>
        <w:pStyle w:val="a3"/>
        <w:rPr>
          <w:rFonts w:ascii="Times New Roman" w:hAnsi="Times New Roman" w:cs="Times New Roman"/>
          <w:lang w:val="en-US"/>
        </w:rPr>
      </w:pPr>
      <w:r w:rsidRPr="004D6F82">
        <w:rPr>
          <w:rStyle w:val="a5"/>
          <w:rFonts w:ascii="Times New Roman" w:hAnsi="Times New Roman" w:cs="Times New Roman"/>
        </w:rPr>
        <w:footnoteRef/>
      </w:r>
      <w:r w:rsidRPr="004D6F82">
        <w:rPr>
          <w:rFonts w:ascii="Times New Roman" w:hAnsi="Times New Roman" w:cs="Times New Roman"/>
          <w:lang w:val="en-US"/>
        </w:rPr>
        <w:t xml:space="preserve"> </w:t>
      </w:r>
      <w:r>
        <w:rPr>
          <w:rFonts w:ascii="Times New Roman" w:hAnsi="Times New Roman" w:cs="Times New Roman"/>
          <w:lang w:val="en-US"/>
        </w:rPr>
        <w:t>World Economic Forum.</w:t>
      </w:r>
    </w:p>
  </w:footnote>
  <w:footnote w:id="25">
    <w:p w:rsidR="00E93040" w:rsidRPr="006169AE" w:rsidRDefault="00E93040" w:rsidP="006169AE">
      <w:pPr>
        <w:spacing w:after="0" w:line="240" w:lineRule="auto"/>
        <w:jc w:val="both"/>
        <w:rPr>
          <w:rFonts w:ascii="Times New Roman" w:hAnsi="Times New Roman" w:cs="Times New Roman"/>
          <w:sz w:val="20"/>
          <w:szCs w:val="20"/>
          <w:lang w:val="en-US"/>
        </w:rPr>
      </w:pPr>
      <w:r w:rsidRPr="006169AE">
        <w:rPr>
          <w:rStyle w:val="a5"/>
          <w:sz w:val="20"/>
          <w:szCs w:val="20"/>
        </w:rPr>
        <w:footnoteRef/>
      </w:r>
      <w:r w:rsidRPr="006169AE">
        <w:rPr>
          <w:sz w:val="20"/>
          <w:szCs w:val="20"/>
          <w:lang w:val="en-US"/>
        </w:rPr>
        <w:t xml:space="preserve"> </w:t>
      </w:r>
      <w:r w:rsidRPr="006169AE">
        <w:rPr>
          <w:rFonts w:ascii="Times New Roman" w:hAnsi="Times New Roman" w:cs="Times New Roman"/>
          <w:i/>
          <w:iCs/>
          <w:sz w:val="20"/>
          <w:szCs w:val="20"/>
          <w:lang w:val="en-US"/>
        </w:rPr>
        <w:t xml:space="preserve">Sergei Sutyrin, Alexandra Koval, Olga Trofimenko. </w:t>
      </w:r>
      <w:r w:rsidRPr="006169AE">
        <w:rPr>
          <w:rFonts w:ascii="Times New Roman" w:hAnsi="Times New Roman" w:cs="Times New Roman"/>
          <w:sz w:val="20"/>
          <w:szCs w:val="20"/>
          <w:lang w:val="en-US"/>
        </w:rPr>
        <w:t xml:space="preserve">Integrating into the multilateral trading system and global value chains: the case of Russia. In: Connecting to global markets. Challenges and opportunities: case studies presented by WTO chair-holders. Ed. by Marion Jansen, Mustapha Sandi </w:t>
      </w:r>
      <w:proofErr w:type="spellStart"/>
      <w:r w:rsidRPr="006169AE">
        <w:rPr>
          <w:rFonts w:ascii="Times New Roman" w:hAnsi="Times New Roman" w:cs="Times New Roman"/>
          <w:sz w:val="20"/>
          <w:szCs w:val="20"/>
          <w:lang w:val="en-US"/>
        </w:rPr>
        <w:t>Jallab</w:t>
      </w:r>
      <w:proofErr w:type="spellEnd"/>
      <w:r w:rsidRPr="006169AE">
        <w:rPr>
          <w:rFonts w:ascii="Times New Roman" w:hAnsi="Times New Roman" w:cs="Times New Roman"/>
          <w:sz w:val="20"/>
          <w:szCs w:val="20"/>
          <w:lang w:val="en-US"/>
        </w:rPr>
        <w:t xml:space="preserve">, Maarten </w:t>
      </w:r>
      <w:proofErr w:type="spellStart"/>
      <w:r w:rsidRPr="006169AE">
        <w:rPr>
          <w:rFonts w:ascii="Times New Roman" w:hAnsi="Times New Roman" w:cs="Times New Roman"/>
          <w:sz w:val="20"/>
          <w:szCs w:val="20"/>
          <w:lang w:val="en-US"/>
        </w:rPr>
        <w:t>Smeets</w:t>
      </w:r>
      <w:proofErr w:type="spellEnd"/>
      <w:r w:rsidRPr="006169AE">
        <w:rPr>
          <w:rFonts w:ascii="Times New Roman" w:hAnsi="Times New Roman" w:cs="Times New Roman"/>
          <w:sz w:val="20"/>
          <w:szCs w:val="20"/>
          <w:lang w:val="en-US"/>
        </w:rPr>
        <w:t xml:space="preserve">. WTO Publications. Geneva. 2014. p.103-115. </w:t>
      </w:r>
      <w:hyperlink r:id="rId2" w:history="1">
        <w:r w:rsidRPr="006169AE">
          <w:rPr>
            <w:rStyle w:val="a8"/>
            <w:rFonts w:ascii="Times New Roman" w:hAnsi="Times New Roman" w:cs="Times New Roman"/>
            <w:sz w:val="20"/>
            <w:szCs w:val="20"/>
            <w:lang w:val="en-US"/>
          </w:rPr>
          <w:t>http://www.wto.org/english/res_e/booksp_e/cmark_chap7_e.pdf</w:t>
        </w:r>
      </w:hyperlink>
      <w:r w:rsidRPr="006169AE">
        <w:rPr>
          <w:rFonts w:ascii="Times New Roman" w:hAnsi="Times New Roman" w:cs="Times New Roman"/>
          <w:sz w:val="20"/>
          <w:szCs w:val="20"/>
          <w:lang w:val="en-US"/>
        </w:rPr>
        <w:t xml:space="preserve"> </w:t>
      </w:r>
    </w:p>
  </w:footnote>
  <w:footnote w:id="26">
    <w:p w:rsidR="00E93040" w:rsidRPr="00521485" w:rsidRDefault="00E93040">
      <w:pPr>
        <w:pStyle w:val="a3"/>
        <w:rPr>
          <w:rFonts w:ascii="Times New Roman" w:hAnsi="Times New Roman" w:cs="Times New Roman"/>
          <w:lang w:val="en-US"/>
        </w:rPr>
      </w:pPr>
      <w:r w:rsidRPr="00521485">
        <w:rPr>
          <w:rStyle w:val="a5"/>
          <w:rFonts w:ascii="Times New Roman" w:hAnsi="Times New Roman" w:cs="Times New Roman"/>
        </w:rPr>
        <w:footnoteRef/>
      </w:r>
      <w:r w:rsidRPr="00521485">
        <w:rPr>
          <w:rFonts w:ascii="Times New Roman" w:hAnsi="Times New Roman" w:cs="Times New Roman"/>
          <w:lang w:val="en-US"/>
        </w:rPr>
        <w:t xml:space="preserve"> Russian-Belarusian investment cooperation. Portal of external economic information. Ministry of Economic development of Russian Federation. ehttp://www.ved.gov.ru/exportcountries/by/by_ru_relations/by_rus_projects/</w:t>
      </w:r>
    </w:p>
  </w:footnote>
  <w:footnote w:id="27">
    <w:p w:rsidR="00E93040" w:rsidRPr="009A7FF9" w:rsidRDefault="00E93040" w:rsidP="00C904AE">
      <w:pPr>
        <w:pStyle w:val="a3"/>
        <w:rPr>
          <w:rFonts w:ascii="Times New Roman" w:hAnsi="Times New Roman" w:cs="Times New Roman"/>
          <w:lang w:val="en-US"/>
        </w:rPr>
      </w:pPr>
      <w:r w:rsidRPr="00FA2A50">
        <w:rPr>
          <w:rStyle w:val="a5"/>
          <w:rFonts w:ascii="Times New Roman" w:hAnsi="Times New Roman" w:cs="Times New Roman"/>
        </w:rPr>
        <w:footnoteRef/>
      </w:r>
      <w:r>
        <w:rPr>
          <w:rFonts w:ascii="Times New Roman" w:hAnsi="Times New Roman" w:cs="Times New Roman"/>
          <w:lang w:val="en-US"/>
        </w:rPr>
        <w:t xml:space="preserve"> </w:t>
      </w:r>
      <w:r w:rsidRPr="000C79EF">
        <w:rPr>
          <w:rFonts w:ascii="Times New Roman" w:hAnsi="Times New Roman" w:cs="Times New Roman"/>
          <w:lang w:val="en-US"/>
        </w:rPr>
        <w:t>The distance to frontier score aids in assessing the absolute level of regulatory performance and how it improves over time. This measure shows the distance of each economy to the “frontier,” which represents the best performance observed on each of the indicators across all economies in the </w:t>
      </w:r>
      <w:r w:rsidRPr="000C79EF">
        <w:rPr>
          <w:rFonts w:ascii="Times New Roman" w:hAnsi="Times New Roman" w:cs="Times New Roman"/>
          <w:iCs/>
          <w:lang w:val="en-US"/>
        </w:rPr>
        <w:t>Doing Business</w:t>
      </w:r>
      <w:r w:rsidRPr="000C79EF">
        <w:rPr>
          <w:rFonts w:ascii="Times New Roman" w:hAnsi="Times New Roman" w:cs="Times New Roman"/>
          <w:lang w:val="en-US"/>
        </w:rPr>
        <w:t xml:space="preserve"> sample since 2005. </w:t>
      </w:r>
      <w:r w:rsidRPr="00806480">
        <w:rPr>
          <w:rFonts w:ascii="Times New Roman" w:hAnsi="Times New Roman" w:cs="Times New Roman"/>
          <w:lang w:val="en-US"/>
        </w:rPr>
        <w:t>An economy’s distance to frontier is reflected on a scale from 0 to 100, where 0 represents the lowest performance and 100 represents the frontier.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81707"/>
      <w:docPartObj>
        <w:docPartGallery w:val="Page Numbers (Top of Page)"/>
        <w:docPartUnique/>
      </w:docPartObj>
    </w:sdtPr>
    <w:sdtContent>
      <w:p w:rsidR="00E93040" w:rsidRPr="009D372E" w:rsidRDefault="00E93040">
        <w:pPr>
          <w:pStyle w:val="ac"/>
          <w:jc w:val="center"/>
          <w:rPr>
            <w:rFonts w:ascii="Times New Roman" w:hAnsi="Times New Roman" w:cs="Times New Roman"/>
          </w:rPr>
        </w:pPr>
        <w:r w:rsidRPr="009D372E">
          <w:rPr>
            <w:rFonts w:ascii="Times New Roman" w:hAnsi="Times New Roman" w:cs="Times New Roman"/>
          </w:rPr>
          <w:fldChar w:fldCharType="begin"/>
        </w:r>
        <w:r w:rsidRPr="009D372E">
          <w:rPr>
            <w:rFonts w:ascii="Times New Roman" w:hAnsi="Times New Roman" w:cs="Times New Roman"/>
          </w:rPr>
          <w:instrText xml:space="preserve"> PAGE   \* MERGEFORMAT </w:instrText>
        </w:r>
        <w:r w:rsidRPr="009D372E">
          <w:rPr>
            <w:rFonts w:ascii="Times New Roman" w:hAnsi="Times New Roman" w:cs="Times New Roman"/>
          </w:rPr>
          <w:fldChar w:fldCharType="separate"/>
        </w:r>
        <w:r w:rsidR="00243483">
          <w:rPr>
            <w:rFonts w:ascii="Times New Roman" w:hAnsi="Times New Roman" w:cs="Times New Roman"/>
            <w:noProof/>
          </w:rPr>
          <w:t>13</w:t>
        </w:r>
        <w:r w:rsidRPr="009D372E">
          <w:rPr>
            <w:rFonts w:ascii="Times New Roman" w:hAnsi="Times New Roman" w:cs="Times New Roman"/>
          </w:rPr>
          <w:fldChar w:fldCharType="end"/>
        </w:r>
      </w:p>
    </w:sdtContent>
  </w:sdt>
  <w:p w:rsidR="00E93040" w:rsidRDefault="00E9304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55CA7"/>
    <w:multiLevelType w:val="hybridMultilevel"/>
    <w:tmpl w:val="61CC41DC"/>
    <w:lvl w:ilvl="0" w:tplc="04190001">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
    <w:nsid w:val="20297C66"/>
    <w:multiLevelType w:val="hybridMultilevel"/>
    <w:tmpl w:val="53AC6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420857"/>
    <w:multiLevelType w:val="multilevel"/>
    <w:tmpl w:val="3340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417D68"/>
    <w:multiLevelType w:val="hybridMultilevel"/>
    <w:tmpl w:val="918C1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0D2632"/>
    <w:multiLevelType w:val="hybridMultilevel"/>
    <w:tmpl w:val="F88A6D4C"/>
    <w:lvl w:ilvl="0" w:tplc="5598F920">
      <w:start w:val="1"/>
      <w:numFmt w:val="bullet"/>
      <w:lvlText w:val=""/>
      <w:lvlJc w:val="left"/>
      <w:pPr>
        <w:tabs>
          <w:tab w:val="num" w:pos="720"/>
        </w:tabs>
        <w:ind w:left="720" w:hanging="360"/>
      </w:pPr>
      <w:rPr>
        <w:rFonts w:ascii="Wingdings 2" w:hAnsi="Wingdings 2" w:hint="default"/>
      </w:rPr>
    </w:lvl>
    <w:lvl w:ilvl="1" w:tplc="E53E4072">
      <w:start w:val="1632"/>
      <w:numFmt w:val="bullet"/>
      <w:lvlText w:val=""/>
      <w:lvlJc w:val="left"/>
      <w:pPr>
        <w:tabs>
          <w:tab w:val="num" w:pos="1440"/>
        </w:tabs>
        <w:ind w:left="1440" w:hanging="360"/>
      </w:pPr>
      <w:rPr>
        <w:rFonts w:ascii="Wingdings" w:hAnsi="Wingdings" w:hint="default"/>
      </w:rPr>
    </w:lvl>
    <w:lvl w:ilvl="2" w:tplc="E924CD12" w:tentative="1">
      <w:start w:val="1"/>
      <w:numFmt w:val="bullet"/>
      <w:lvlText w:val=""/>
      <w:lvlJc w:val="left"/>
      <w:pPr>
        <w:tabs>
          <w:tab w:val="num" w:pos="2160"/>
        </w:tabs>
        <w:ind w:left="2160" w:hanging="360"/>
      </w:pPr>
      <w:rPr>
        <w:rFonts w:ascii="Wingdings 2" w:hAnsi="Wingdings 2" w:hint="default"/>
      </w:rPr>
    </w:lvl>
    <w:lvl w:ilvl="3" w:tplc="A40A8E5C" w:tentative="1">
      <w:start w:val="1"/>
      <w:numFmt w:val="bullet"/>
      <w:lvlText w:val=""/>
      <w:lvlJc w:val="left"/>
      <w:pPr>
        <w:tabs>
          <w:tab w:val="num" w:pos="2880"/>
        </w:tabs>
        <w:ind w:left="2880" w:hanging="360"/>
      </w:pPr>
      <w:rPr>
        <w:rFonts w:ascii="Wingdings 2" w:hAnsi="Wingdings 2" w:hint="default"/>
      </w:rPr>
    </w:lvl>
    <w:lvl w:ilvl="4" w:tplc="FBEC25E8" w:tentative="1">
      <w:start w:val="1"/>
      <w:numFmt w:val="bullet"/>
      <w:lvlText w:val=""/>
      <w:lvlJc w:val="left"/>
      <w:pPr>
        <w:tabs>
          <w:tab w:val="num" w:pos="3600"/>
        </w:tabs>
        <w:ind w:left="3600" w:hanging="360"/>
      </w:pPr>
      <w:rPr>
        <w:rFonts w:ascii="Wingdings 2" w:hAnsi="Wingdings 2" w:hint="default"/>
      </w:rPr>
    </w:lvl>
    <w:lvl w:ilvl="5" w:tplc="B922EE40" w:tentative="1">
      <w:start w:val="1"/>
      <w:numFmt w:val="bullet"/>
      <w:lvlText w:val=""/>
      <w:lvlJc w:val="left"/>
      <w:pPr>
        <w:tabs>
          <w:tab w:val="num" w:pos="4320"/>
        </w:tabs>
        <w:ind w:left="4320" w:hanging="360"/>
      </w:pPr>
      <w:rPr>
        <w:rFonts w:ascii="Wingdings 2" w:hAnsi="Wingdings 2" w:hint="default"/>
      </w:rPr>
    </w:lvl>
    <w:lvl w:ilvl="6" w:tplc="981E37CC" w:tentative="1">
      <w:start w:val="1"/>
      <w:numFmt w:val="bullet"/>
      <w:lvlText w:val=""/>
      <w:lvlJc w:val="left"/>
      <w:pPr>
        <w:tabs>
          <w:tab w:val="num" w:pos="5040"/>
        </w:tabs>
        <w:ind w:left="5040" w:hanging="360"/>
      </w:pPr>
      <w:rPr>
        <w:rFonts w:ascii="Wingdings 2" w:hAnsi="Wingdings 2" w:hint="default"/>
      </w:rPr>
    </w:lvl>
    <w:lvl w:ilvl="7" w:tplc="F3A4649E" w:tentative="1">
      <w:start w:val="1"/>
      <w:numFmt w:val="bullet"/>
      <w:lvlText w:val=""/>
      <w:lvlJc w:val="left"/>
      <w:pPr>
        <w:tabs>
          <w:tab w:val="num" w:pos="5760"/>
        </w:tabs>
        <w:ind w:left="5760" w:hanging="360"/>
      </w:pPr>
      <w:rPr>
        <w:rFonts w:ascii="Wingdings 2" w:hAnsi="Wingdings 2" w:hint="default"/>
      </w:rPr>
    </w:lvl>
    <w:lvl w:ilvl="8" w:tplc="9012ADC8"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31C0"/>
    <w:rsid w:val="000014BD"/>
    <w:rsid w:val="00004ED5"/>
    <w:rsid w:val="00033C70"/>
    <w:rsid w:val="00035C98"/>
    <w:rsid w:val="000401FE"/>
    <w:rsid w:val="00040786"/>
    <w:rsid w:val="00050813"/>
    <w:rsid w:val="00082BD8"/>
    <w:rsid w:val="000C04A1"/>
    <w:rsid w:val="000C79EF"/>
    <w:rsid w:val="000D2098"/>
    <w:rsid w:val="000E523D"/>
    <w:rsid w:val="000F6E37"/>
    <w:rsid w:val="00101869"/>
    <w:rsid w:val="00113B1A"/>
    <w:rsid w:val="00113D07"/>
    <w:rsid w:val="00140100"/>
    <w:rsid w:val="00141C86"/>
    <w:rsid w:val="00157CD0"/>
    <w:rsid w:val="00180F19"/>
    <w:rsid w:val="00183605"/>
    <w:rsid w:val="001A1351"/>
    <w:rsid w:val="001A2D04"/>
    <w:rsid w:val="001B7ABC"/>
    <w:rsid w:val="001C5C5C"/>
    <w:rsid w:val="001D50AE"/>
    <w:rsid w:val="001F4844"/>
    <w:rsid w:val="0022331D"/>
    <w:rsid w:val="0022547A"/>
    <w:rsid w:val="00236998"/>
    <w:rsid w:val="002431DF"/>
    <w:rsid w:val="00243483"/>
    <w:rsid w:val="0027444F"/>
    <w:rsid w:val="00283B70"/>
    <w:rsid w:val="002A3465"/>
    <w:rsid w:val="002B2A36"/>
    <w:rsid w:val="002C1989"/>
    <w:rsid w:val="002E4EB5"/>
    <w:rsid w:val="002F02CA"/>
    <w:rsid w:val="002F286A"/>
    <w:rsid w:val="002F3430"/>
    <w:rsid w:val="0030542E"/>
    <w:rsid w:val="00315A2C"/>
    <w:rsid w:val="003360EA"/>
    <w:rsid w:val="0036442A"/>
    <w:rsid w:val="00391140"/>
    <w:rsid w:val="003B3C09"/>
    <w:rsid w:val="003C772F"/>
    <w:rsid w:val="003D2BB9"/>
    <w:rsid w:val="003E7D4E"/>
    <w:rsid w:val="003F1DE5"/>
    <w:rsid w:val="00406983"/>
    <w:rsid w:val="00434498"/>
    <w:rsid w:val="00435A93"/>
    <w:rsid w:val="004371A7"/>
    <w:rsid w:val="004425B9"/>
    <w:rsid w:val="0047588F"/>
    <w:rsid w:val="0049252C"/>
    <w:rsid w:val="004A7235"/>
    <w:rsid w:val="004B260F"/>
    <w:rsid w:val="004D6F82"/>
    <w:rsid w:val="004E424D"/>
    <w:rsid w:val="004F32F6"/>
    <w:rsid w:val="004F3CF2"/>
    <w:rsid w:val="00504F22"/>
    <w:rsid w:val="00521485"/>
    <w:rsid w:val="005632C4"/>
    <w:rsid w:val="00586BDB"/>
    <w:rsid w:val="005977CE"/>
    <w:rsid w:val="005A0B36"/>
    <w:rsid w:val="005B06C4"/>
    <w:rsid w:val="005B4F95"/>
    <w:rsid w:val="005D10DA"/>
    <w:rsid w:val="005D17CC"/>
    <w:rsid w:val="005D2896"/>
    <w:rsid w:val="005E7684"/>
    <w:rsid w:val="00600B52"/>
    <w:rsid w:val="0060668B"/>
    <w:rsid w:val="006119CC"/>
    <w:rsid w:val="006169AE"/>
    <w:rsid w:val="0062118A"/>
    <w:rsid w:val="0063601B"/>
    <w:rsid w:val="00637AA6"/>
    <w:rsid w:val="00664099"/>
    <w:rsid w:val="00671E2D"/>
    <w:rsid w:val="00674FDE"/>
    <w:rsid w:val="00692E8F"/>
    <w:rsid w:val="006A727A"/>
    <w:rsid w:val="006B1398"/>
    <w:rsid w:val="006C5501"/>
    <w:rsid w:val="006C7733"/>
    <w:rsid w:val="006D1ABB"/>
    <w:rsid w:val="006D6B55"/>
    <w:rsid w:val="006F549D"/>
    <w:rsid w:val="00710F31"/>
    <w:rsid w:val="0071689F"/>
    <w:rsid w:val="00726A0C"/>
    <w:rsid w:val="00730F71"/>
    <w:rsid w:val="00750B73"/>
    <w:rsid w:val="00765911"/>
    <w:rsid w:val="00781CB3"/>
    <w:rsid w:val="00792D5B"/>
    <w:rsid w:val="007C0121"/>
    <w:rsid w:val="007C154A"/>
    <w:rsid w:val="007C5BF2"/>
    <w:rsid w:val="00806480"/>
    <w:rsid w:val="008214E3"/>
    <w:rsid w:val="00823F7A"/>
    <w:rsid w:val="00833C23"/>
    <w:rsid w:val="008340F1"/>
    <w:rsid w:val="0084045B"/>
    <w:rsid w:val="00847F04"/>
    <w:rsid w:val="00882CEB"/>
    <w:rsid w:val="008859F4"/>
    <w:rsid w:val="0089036F"/>
    <w:rsid w:val="0089178B"/>
    <w:rsid w:val="00895BD0"/>
    <w:rsid w:val="008A189D"/>
    <w:rsid w:val="008A3656"/>
    <w:rsid w:val="008D107E"/>
    <w:rsid w:val="008E2075"/>
    <w:rsid w:val="008E255E"/>
    <w:rsid w:val="008E32B7"/>
    <w:rsid w:val="008E4766"/>
    <w:rsid w:val="008E4AC5"/>
    <w:rsid w:val="00900744"/>
    <w:rsid w:val="0092240F"/>
    <w:rsid w:val="00935537"/>
    <w:rsid w:val="0095279E"/>
    <w:rsid w:val="00952DDB"/>
    <w:rsid w:val="009A4603"/>
    <w:rsid w:val="009A7FF9"/>
    <w:rsid w:val="009D372E"/>
    <w:rsid w:val="009D5E95"/>
    <w:rsid w:val="009E1999"/>
    <w:rsid w:val="009E1B56"/>
    <w:rsid w:val="00A211AA"/>
    <w:rsid w:val="00A30761"/>
    <w:rsid w:val="00A32893"/>
    <w:rsid w:val="00A33609"/>
    <w:rsid w:val="00A41FCE"/>
    <w:rsid w:val="00A539E6"/>
    <w:rsid w:val="00A862D8"/>
    <w:rsid w:val="00AD54A1"/>
    <w:rsid w:val="00AE0231"/>
    <w:rsid w:val="00AF6DD1"/>
    <w:rsid w:val="00B1495C"/>
    <w:rsid w:val="00B4558D"/>
    <w:rsid w:val="00B526B5"/>
    <w:rsid w:val="00B81F3F"/>
    <w:rsid w:val="00B97FC8"/>
    <w:rsid w:val="00BD0B4D"/>
    <w:rsid w:val="00BD5348"/>
    <w:rsid w:val="00BF47AD"/>
    <w:rsid w:val="00C10A99"/>
    <w:rsid w:val="00C3103F"/>
    <w:rsid w:val="00C33537"/>
    <w:rsid w:val="00C37397"/>
    <w:rsid w:val="00C41E50"/>
    <w:rsid w:val="00C70052"/>
    <w:rsid w:val="00C904AE"/>
    <w:rsid w:val="00CE4E90"/>
    <w:rsid w:val="00D1713A"/>
    <w:rsid w:val="00D202AD"/>
    <w:rsid w:val="00D35E48"/>
    <w:rsid w:val="00D3719C"/>
    <w:rsid w:val="00D42FF8"/>
    <w:rsid w:val="00D431C0"/>
    <w:rsid w:val="00D4530A"/>
    <w:rsid w:val="00D5595B"/>
    <w:rsid w:val="00D7578F"/>
    <w:rsid w:val="00D85CAB"/>
    <w:rsid w:val="00D97D5C"/>
    <w:rsid w:val="00DC268F"/>
    <w:rsid w:val="00DD6D8F"/>
    <w:rsid w:val="00E00F5C"/>
    <w:rsid w:val="00E26ED8"/>
    <w:rsid w:val="00E31FFD"/>
    <w:rsid w:val="00E328EB"/>
    <w:rsid w:val="00E40747"/>
    <w:rsid w:val="00E51A4E"/>
    <w:rsid w:val="00E67C2F"/>
    <w:rsid w:val="00E93040"/>
    <w:rsid w:val="00EA51C7"/>
    <w:rsid w:val="00ED132B"/>
    <w:rsid w:val="00ED2590"/>
    <w:rsid w:val="00ED413B"/>
    <w:rsid w:val="00EE12BE"/>
    <w:rsid w:val="00EE75C5"/>
    <w:rsid w:val="00EF25AA"/>
    <w:rsid w:val="00F10DB1"/>
    <w:rsid w:val="00F13BEE"/>
    <w:rsid w:val="00F17ED7"/>
    <w:rsid w:val="00F22B57"/>
    <w:rsid w:val="00F267BE"/>
    <w:rsid w:val="00F43D1C"/>
    <w:rsid w:val="00F5139B"/>
    <w:rsid w:val="00F627E9"/>
    <w:rsid w:val="00F80F3E"/>
    <w:rsid w:val="00F93987"/>
    <w:rsid w:val="00FA2A50"/>
    <w:rsid w:val="00FB56A0"/>
    <w:rsid w:val="00FC5844"/>
    <w:rsid w:val="00FE6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398"/>
  </w:style>
  <w:style w:type="paragraph" w:styleId="1">
    <w:name w:val="heading 1"/>
    <w:basedOn w:val="a"/>
    <w:next w:val="a"/>
    <w:link w:val="10"/>
    <w:uiPriority w:val="9"/>
    <w:qFormat/>
    <w:rsid w:val="00D453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F6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D53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1C86"/>
    <w:pPr>
      <w:spacing w:after="0" w:line="240" w:lineRule="auto"/>
    </w:pPr>
    <w:rPr>
      <w:sz w:val="20"/>
      <w:szCs w:val="20"/>
    </w:rPr>
  </w:style>
  <w:style w:type="character" w:customStyle="1" w:styleId="a4">
    <w:name w:val="Текст сноски Знак"/>
    <w:basedOn w:val="a0"/>
    <w:link w:val="a3"/>
    <w:uiPriority w:val="99"/>
    <w:rsid w:val="00141C86"/>
    <w:rPr>
      <w:sz w:val="20"/>
      <w:szCs w:val="20"/>
    </w:rPr>
  </w:style>
  <w:style w:type="character" w:styleId="a5">
    <w:name w:val="footnote reference"/>
    <w:basedOn w:val="a0"/>
    <w:uiPriority w:val="99"/>
    <w:semiHidden/>
    <w:unhideWhenUsed/>
    <w:rsid w:val="00141C86"/>
    <w:rPr>
      <w:vertAlign w:val="superscript"/>
    </w:rPr>
  </w:style>
  <w:style w:type="paragraph" w:styleId="a6">
    <w:name w:val="List Paragraph"/>
    <w:basedOn w:val="a"/>
    <w:uiPriority w:val="34"/>
    <w:qFormat/>
    <w:rsid w:val="00F80F3E"/>
    <w:pPr>
      <w:ind w:left="720"/>
      <w:contextualSpacing/>
    </w:pPr>
  </w:style>
  <w:style w:type="character" w:customStyle="1" w:styleId="20">
    <w:name w:val="Заголовок 2 Знак"/>
    <w:basedOn w:val="a0"/>
    <w:link w:val="2"/>
    <w:uiPriority w:val="9"/>
    <w:rsid w:val="00AF6DD1"/>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AF6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6DD1"/>
  </w:style>
  <w:style w:type="character" w:styleId="a8">
    <w:name w:val="Hyperlink"/>
    <w:basedOn w:val="a0"/>
    <w:uiPriority w:val="99"/>
    <w:unhideWhenUsed/>
    <w:rsid w:val="00AF6DD1"/>
    <w:rPr>
      <w:color w:val="0000FF"/>
      <w:u w:val="single"/>
    </w:rPr>
  </w:style>
  <w:style w:type="character" w:customStyle="1" w:styleId="taxo-separator">
    <w:name w:val="taxo-separator"/>
    <w:basedOn w:val="a0"/>
    <w:rsid w:val="00AF6DD1"/>
  </w:style>
  <w:style w:type="character" w:customStyle="1" w:styleId="hidden-xs">
    <w:name w:val="hidden-xs"/>
    <w:basedOn w:val="a0"/>
    <w:rsid w:val="00AF6DD1"/>
  </w:style>
  <w:style w:type="character" w:customStyle="1" w:styleId="freepager-previous">
    <w:name w:val="freepager-previous"/>
    <w:basedOn w:val="a0"/>
    <w:rsid w:val="00AF6DD1"/>
  </w:style>
  <w:style w:type="character" w:customStyle="1" w:styleId="date-display-single">
    <w:name w:val="date-display-single"/>
    <w:basedOn w:val="a0"/>
    <w:rsid w:val="00AF6DD1"/>
  </w:style>
  <w:style w:type="character" w:customStyle="1" w:styleId="freepager-next">
    <w:name w:val="freepager-next"/>
    <w:basedOn w:val="a0"/>
    <w:rsid w:val="00AF6DD1"/>
  </w:style>
  <w:style w:type="character" w:customStyle="1" w:styleId="field-content">
    <w:name w:val="field-content"/>
    <w:basedOn w:val="a0"/>
    <w:rsid w:val="00AF6DD1"/>
  </w:style>
  <w:style w:type="paragraph" w:styleId="a9">
    <w:name w:val="Balloon Text"/>
    <w:basedOn w:val="a"/>
    <w:link w:val="aa"/>
    <w:uiPriority w:val="99"/>
    <w:semiHidden/>
    <w:unhideWhenUsed/>
    <w:rsid w:val="00AF6D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6DD1"/>
    <w:rPr>
      <w:rFonts w:ascii="Tahoma" w:hAnsi="Tahoma" w:cs="Tahoma"/>
      <w:sz w:val="16"/>
      <w:szCs w:val="16"/>
    </w:rPr>
  </w:style>
  <w:style w:type="character" w:customStyle="1" w:styleId="10">
    <w:name w:val="Заголовок 1 Знак"/>
    <w:basedOn w:val="a0"/>
    <w:link w:val="1"/>
    <w:uiPriority w:val="9"/>
    <w:rsid w:val="00D4530A"/>
    <w:rPr>
      <w:rFonts w:asciiTheme="majorHAnsi" w:eastAsiaTheme="majorEastAsia" w:hAnsiTheme="majorHAnsi" w:cstheme="majorBidi"/>
      <w:b/>
      <w:bCs/>
      <w:color w:val="365F91" w:themeColor="accent1" w:themeShade="BF"/>
      <w:sz w:val="28"/>
      <w:szCs w:val="28"/>
    </w:rPr>
  </w:style>
  <w:style w:type="character" w:customStyle="1" w:styleId="comments">
    <w:name w:val="comments"/>
    <w:basedOn w:val="a0"/>
    <w:rsid w:val="00D4530A"/>
  </w:style>
  <w:style w:type="character" w:customStyle="1" w:styleId="tik">
    <w:name w:val="tik"/>
    <w:basedOn w:val="a0"/>
    <w:rsid w:val="00D4530A"/>
  </w:style>
  <w:style w:type="character" w:styleId="ab">
    <w:name w:val="Strong"/>
    <w:basedOn w:val="a0"/>
    <w:uiPriority w:val="22"/>
    <w:qFormat/>
    <w:rsid w:val="00D4530A"/>
    <w:rPr>
      <w:b/>
      <w:bCs/>
    </w:rPr>
  </w:style>
  <w:style w:type="paragraph" w:customStyle="1" w:styleId="Default">
    <w:name w:val="Default"/>
    <w:rsid w:val="009D5E9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header"/>
    <w:basedOn w:val="a"/>
    <w:link w:val="ad"/>
    <w:uiPriority w:val="99"/>
    <w:unhideWhenUsed/>
    <w:rsid w:val="009D372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D372E"/>
  </w:style>
  <w:style w:type="paragraph" w:styleId="ae">
    <w:name w:val="footer"/>
    <w:basedOn w:val="a"/>
    <w:link w:val="af"/>
    <w:uiPriority w:val="99"/>
    <w:semiHidden/>
    <w:unhideWhenUsed/>
    <w:rsid w:val="009D372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D372E"/>
  </w:style>
  <w:style w:type="table" w:styleId="af0">
    <w:name w:val="Table Grid"/>
    <w:basedOn w:val="a1"/>
    <w:uiPriority w:val="59"/>
    <w:rsid w:val="00BD0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D202AD"/>
    <w:rPr>
      <w:color w:val="800080" w:themeColor="followedHyperlink"/>
      <w:u w:val="single"/>
    </w:rPr>
  </w:style>
  <w:style w:type="character" w:customStyle="1" w:styleId="30">
    <w:name w:val="Заголовок 3 Знак"/>
    <w:basedOn w:val="a0"/>
    <w:link w:val="3"/>
    <w:uiPriority w:val="9"/>
    <w:semiHidden/>
    <w:rsid w:val="00BD5348"/>
    <w:rPr>
      <w:rFonts w:asciiTheme="majorHAnsi" w:eastAsiaTheme="majorEastAsia" w:hAnsiTheme="majorHAnsi" w:cstheme="majorBidi"/>
      <w:b/>
      <w:bCs/>
      <w:color w:val="4F81BD" w:themeColor="accent1"/>
    </w:rPr>
  </w:style>
  <w:style w:type="character" w:customStyle="1" w:styleId="hps">
    <w:name w:val="hps"/>
    <w:basedOn w:val="a0"/>
    <w:rsid w:val="00E93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41C86"/>
    <w:pPr>
      <w:spacing w:after="0" w:line="240" w:lineRule="auto"/>
    </w:pPr>
    <w:rPr>
      <w:sz w:val="20"/>
      <w:szCs w:val="20"/>
    </w:rPr>
  </w:style>
  <w:style w:type="character" w:customStyle="1" w:styleId="a4">
    <w:name w:val="Текст сноски Знак"/>
    <w:basedOn w:val="a0"/>
    <w:link w:val="a3"/>
    <w:uiPriority w:val="99"/>
    <w:semiHidden/>
    <w:rsid w:val="00141C86"/>
    <w:rPr>
      <w:sz w:val="20"/>
      <w:szCs w:val="20"/>
    </w:rPr>
  </w:style>
  <w:style w:type="character" w:styleId="a5">
    <w:name w:val="footnote reference"/>
    <w:basedOn w:val="a0"/>
    <w:uiPriority w:val="99"/>
    <w:semiHidden/>
    <w:unhideWhenUsed/>
    <w:rsid w:val="00141C86"/>
    <w:rPr>
      <w:vertAlign w:val="superscript"/>
    </w:rPr>
  </w:style>
  <w:style w:type="paragraph" w:styleId="a6">
    <w:name w:val="List Paragraph"/>
    <w:basedOn w:val="a"/>
    <w:uiPriority w:val="34"/>
    <w:qFormat/>
    <w:rsid w:val="00F80F3E"/>
    <w:pPr>
      <w:ind w:left="720"/>
      <w:contextualSpacing/>
    </w:pPr>
  </w:style>
</w:styles>
</file>

<file path=word/webSettings.xml><?xml version="1.0" encoding="utf-8"?>
<w:webSettings xmlns:r="http://schemas.openxmlformats.org/officeDocument/2006/relationships" xmlns:w="http://schemas.openxmlformats.org/wordprocessingml/2006/main">
  <w:divs>
    <w:div w:id="36513042">
      <w:bodyDiv w:val="1"/>
      <w:marLeft w:val="0"/>
      <w:marRight w:val="0"/>
      <w:marTop w:val="0"/>
      <w:marBottom w:val="0"/>
      <w:divBdr>
        <w:top w:val="none" w:sz="0" w:space="0" w:color="auto"/>
        <w:left w:val="none" w:sz="0" w:space="0" w:color="auto"/>
        <w:bottom w:val="none" w:sz="0" w:space="0" w:color="auto"/>
        <w:right w:val="none" w:sz="0" w:space="0" w:color="auto"/>
      </w:divBdr>
    </w:div>
    <w:div w:id="98261824">
      <w:bodyDiv w:val="1"/>
      <w:marLeft w:val="0"/>
      <w:marRight w:val="0"/>
      <w:marTop w:val="0"/>
      <w:marBottom w:val="0"/>
      <w:divBdr>
        <w:top w:val="none" w:sz="0" w:space="0" w:color="auto"/>
        <w:left w:val="none" w:sz="0" w:space="0" w:color="auto"/>
        <w:bottom w:val="none" w:sz="0" w:space="0" w:color="auto"/>
        <w:right w:val="none" w:sz="0" w:space="0" w:color="auto"/>
      </w:divBdr>
    </w:div>
    <w:div w:id="141964926">
      <w:bodyDiv w:val="1"/>
      <w:marLeft w:val="0"/>
      <w:marRight w:val="0"/>
      <w:marTop w:val="0"/>
      <w:marBottom w:val="0"/>
      <w:divBdr>
        <w:top w:val="none" w:sz="0" w:space="0" w:color="auto"/>
        <w:left w:val="none" w:sz="0" w:space="0" w:color="auto"/>
        <w:bottom w:val="none" w:sz="0" w:space="0" w:color="auto"/>
        <w:right w:val="none" w:sz="0" w:space="0" w:color="auto"/>
      </w:divBdr>
    </w:div>
    <w:div w:id="178351950">
      <w:bodyDiv w:val="1"/>
      <w:marLeft w:val="0"/>
      <w:marRight w:val="0"/>
      <w:marTop w:val="0"/>
      <w:marBottom w:val="0"/>
      <w:divBdr>
        <w:top w:val="none" w:sz="0" w:space="0" w:color="auto"/>
        <w:left w:val="none" w:sz="0" w:space="0" w:color="auto"/>
        <w:bottom w:val="none" w:sz="0" w:space="0" w:color="auto"/>
        <w:right w:val="none" w:sz="0" w:space="0" w:color="auto"/>
      </w:divBdr>
    </w:div>
    <w:div w:id="252327298">
      <w:bodyDiv w:val="1"/>
      <w:marLeft w:val="0"/>
      <w:marRight w:val="0"/>
      <w:marTop w:val="0"/>
      <w:marBottom w:val="0"/>
      <w:divBdr>
        <w:top w:val="none" w:sz="0" w:space="0" w:color="auto"/>
        <w:left w:val="none" w:sz="0" w:space="0" w:color="auto"/>
        <w:bottom w:val="none" w:sz="0" w:space="0" w:color="auto"/>
        <w:right w:val="none" w:sz="0" w:space="0" w:color="auto"/>
      </w:divBdr>
    </w:div>
    <w:div w:id="298924675">
      <w:bodyDiv w:val="1"/>
      <w:marLeft w:val="0"/>
      <w:marRight w:val="0"/>
      <w:marTop w:val="0"/>
      <w:marBottom w:val="0"/>
      <w:divBdr>
        <w:top w:val="none" w:sz="0" w:space="0" w:color="auto"/>
        <w:left w:val="none" w:sz="0" w:space="0" w:color="auto"/>
        <w:bottom w:val="none" w:sz="0" w:space="0" w:color="auto"/>
        <w:right w:val="none" w:sz="0" w:space="0" w:color="auto"/>
      </w:divBdr>
    </w:div>
    <w:div w:id="347872626">
      <w:bodyDiv w:val="1"/>
      <w:marLeft w:val="0"/>
      <w:marRight w:val="0"/>
      <w:marTop w:val="0"/>
      <w:marBottom w:val="0"/>
      <w:divBdr>
        <w:top w:val="none" w:sz="0" w:space="0" w:color="auto"/>
        <w:left w:val="none" w:sz="0" w:space="0" w:color="auto"/>
        <w:bottom w:val="none" w:sz="0" w:space="0" w:color="auto"/>
        <w:right w:val="none" w:sz="0" w:space="0" w:color="auto"/>
      </w:divBdr>
    </w:div>
    <w:div w:id="368839038">
      <w:bodyDiv w:val="1"/>
      <w:marLeft w:val="0"/>
      <w:marRight w:val="0"/>
      <w:marTop w:val="0"/>
      <w:marBottom w:val="0"/>
      <w:divBdr>
        <w:top w:val="none" w:sz="0" w:space="0" w:color="auto"/>
        <w:left w:val="none" w:sz="0" w:space="0" w:color="auto"/>
        <w:bottom w:val="none" w:sz="0" w:space="0" w:color="auto"/>
        <w:right w:val="none" w:sz="0" w:space="0" w:color="auto"/>
      </w:divBdr>
    </w:div>
    <w:div w:id="386490770">
      <w:bodyDiv w:val="1"/>
      <w:marLeft w:val="0"/>
      <w:marRight w:val="0"/>
      <w:marTop w:val="0"/>
      <w:marBottom w:val="0"/>
      <w:divBdr>
        <w:top w:val="none" w:sz="0" w:space="0" w:color="auto"/>
        <w:left w:val="none" w:sz="0" w:space="0" w:color="auto"/>
        <w:bottom w:val="none" w:sz="0" w:space="0" w:color="auto"/>
        <w:right w:val="none" w:sz="0" w:space="0" w:color="auto"/>
      </w:divBdr>
    </w:div>
    <w:div w:id="411658062">
      <w:bodyDiv w:val="1"/>
      <w:marLeft w:val="0"/>
      <w:marRight w:val="0"/>
      <w:marTop w:val="0"/>
      <w:marBottom w:val="0"/>
      <w:divBdr>
        <w:top w:val="none" w:sz="0" w:space="0" w:color="auto"/>
        <w:left w:val="none" w:sz="0" w:space="0" w:color="auto"/>
        <w:bottom w:val="none" w:sz="0" w:space="0" w:color="auto"/>
        <w:right w:val="none" w:sz="0" w:space="0" w:color="auto"/>
      </w:divBdr>
    </w:div>
    <w:div w:id="436221810">
      <w:bodyDiv w:val="1"/>
      <w:marLeft w:val="0"/>
      <w:marRight w:val="0"/>
      <w:marTop w:val="0"/>
      <w:marBottom w:val="0"/>
      <w:divBdr>
        <w:top w:val="none" w:sz="0" w:space="0" w:color="auto"/>
        <w:left w:val="none" w:sz="0" w:space="0" w:color="auto"/>
        <w:bottom w:val="none" w:sz="0" w:space="0" w:color="auto"/>
        <w:right w:val="none" w:sz="0" w:space="0" w:color="auto"/>
      </w:divBdr>
      <w:divsChild>
        <w:div w:id="624193649">
          <w:marLeft w:val="432"/>
          <w:marRight w:val="0"/>
          <w:marTop w:val="130"/>
          <w:marBottom w:val="0"/>
          <w:divBdr>
            <w:top w:val="none" w:sz="0" w:space="0" w:color="auto"/>
            <w:left w:val="none" w:sz="0" w:space="0" w:color="auto"/>
            <w:bottom w:val="none" w:sz="0" w:space="0" w:color="auto"/>
            <w:right w:val="none" w:sz="0" w:space="0" w:color="auto"/>
          </w:divBdr>
        </w:div>
        <w:div w:id="1135367598">
          <w:marLeft w:val="432"/>
          <w:marRight w:val="0"/>
          <w:marTop w:val="130"/>
          <w:marBottom w:val="0"/>
          <w:divBdr>
            <w:top w:val="none" w:sz="0" w:space="0" w:color="auto"/>
            <w:left w:val="none" w:sz="0" w:space="0" w:color="auto"/>
            <w:bottom w:val="none" w:sz="0" w:space="0" w:color="auto"/>
            <w:right w:val="none" w:sz="0" w:space="0" w:color="auto"/>
          </w:divBdr>
        </w:div>
        <w:div w:id="650788327">
          <w:marLeft w:val="864"/>
          <w:marRight w:val="0"/>
          <w:marTop w:val="106"/>
          <w:marBottom w:val="0"/>
          <w:divBdr>
            <w:top w:val="none" w:sz="0" w:space="0" w:color="auto"/>
            <w:left w:val="none" w:sz="0" w:space="0" w:color="auto"/>
            <w:bottom w:val="none" w:sz="0" w:space="0" w:color="auto"/>
            <w:right w:val="none" w:sz="0" w:space="0" w:color="auto"/>
          </w:divBdr>
        </w:div>
        <w:div w:id="1883054153">
          <w:marLeft w:val="864"/>
          <w:marRight w:val="0"/>
          <w:marTop w:val="106"/>
          <w:marBottom w:val="0"/>
          <w:divBdr>
            <w:top w:val="none" w:sz="0" w:space="0" w:color="auto"/>
            <w:left w:val="none" w:sz="0" w:space="0" w:color="auto"/>
            <w:bottom w:val="none" w:sz="0" w:space="0" w:color="auto"/>
            <w:right w:val="none" w:sz="0" w:space="0" w:color="auto"/>
          </w:divBdr>
        </w:div>
        <w:div w:id="871958486">
          <w:marLeft w:val="864"/>
          <w:marRight w:val="0"/>
          <w:marTop w:val="106"/>
          <w:marBottom w:val="0"/>
          <w:divBdr>
            <w:top w:val="none" w:sz="0" w:space="0" w:color="auto"/>
            <w:left w:val="none" w:sz="0" w:space="0" w:color="auto"/>
            <w:bottom w:val="none" w:sz="0" w:space="0" w:color="auto"/>
            <w:right w:val="none" w:sz="0" w:space="0" w:color="auto"/>
          </w:divBdr>
        </w:div>
        <w:div w:id="638340223">
          <w:marLeft w:val="432"/>
          <w:marRight w:val="0"/>
          <w:marTop w:val="130"/>
          <w:marBottom w:val="0"/>
          <w:divBdr>
            <w:top w:val="none" w:sz="0" w:space="0" w:color="auto"/>
            <w:left w:val="none" w:sz="0" w:space="0" w:color="auto"/>
            <w:bottom w:val="none" w:sz="0" w:space="0" w:color="auto"/>
            <w:right w:val="none" w:sz="0" w:space="0" w:color="auto"/>
          </w:divBdr>
        </w:div>
        <w:div w:id="1073547110">
          <w:marLeft w:val="432"/>
          <w:marRight w:val="0"/>
          <w:marTop w:val="130"/>
          <w:marBottom w:val="0"/>
          <w:divBdr>
            <w:top w:val="none" w:sz="0" w:space="0" w:color="auto"/>
            <w:left w:val="none" w:sz="0" w:space="0" w:color="auto"/>
            <w:bottom w:val="none" w:sz="0" w:space="0" w:color="auto"/>
            <w:right w:val="none" w:sz="0" w:space="0" w:color="auto"/>
          </w:divBdr>
        </w:div>
        <w:div w:id="1458185269">
          <w:marLeft w:val="432"/>
          <w:marRight w:val="0"/>
          <w:marTop w:val="130"/>
          <w:marBottom w:val="0"/>
          <w:divBdr>
            <w:top w:val="none" w:sz="0" w:space="0" w:color="auto"/>
            <w:left w:val="none" w:sz="0" w:space="0" w:color="auto"/>
            <w:bottom w:val="none" w:sz="0" w:space="0" w:color="auto"/>
            <w:right w:val="none" w:sz="0" w:space="0" w:color="auto"/>
          </w:divBdr>
        </w:div>
      </w:divsChild>
    </w:div>
    <w:div w:id="442575120">
      <w:bodyDiv w:val="1"/>
      <w:marLeft w:val="0"/>
      <w:marRight w:val="0"/>
      <w:marTop w:val="0"/>
      <w:marBottom w:val="0"/>
      <w:divBdr>
        <w:top w:val="none" w:sz="0" w:space="0" w:color="auto"/>
        <w:left w:val="none" w:sz="0" w:space="0" w:color="auto"/>
        <w:bottom w:val="none" w:sz="0" w:space="0" w:color="auto"/>
        <w:right w:val="none" w:sz="0" w:space="0" w:color="auto"/>
      </w:divBdr>
    </w:div>
    <w:div w:id="449933927">
      <w:bodyDiv w:val="1"/>
      <w:marLeft w:val="0"/>
      <w:marRight w:val="0"/>
      <w:marTop w:val="0"/>
      <w:marBottom w:val="0"/>
      <w:divBdr>
        <w:top w:val="none" w:sz="0" w:space="0" w:color="auto"/>
        <w:left w:val="none" w:sz="0" w:space="0" w:color="auto"/>
        <w:bottom w:val="none" w:sz="0" w:space="0" w:color="auto"/>
        <w:right w:val="none" w:sz="0" w:space="0" w:color="auto"/>
      </w:divBdr>
    </w:div>
    <w:div w:id="526329981">
      <w:bodyDiv w:val="1"/>
      <w:marLeft w:val="0"/>
      <w:marRight w:val="0"/>
      <w:marTop w:val="0"/>
      <w:marBottom w:val="0"/>
      <w:divBdr>
        <w:top w:val="none" w:sz="0" w:space="0" w:color="auto"/>
        <w:left w:val="none" w:sz="0" w:space="0" w:color="auto"/>
        <w:bottom w:val="none" w:sz="0" w:space="0" w:color="auto"/>
        <w:right w:val="none" w:sz="0" w:space="0" w:color="auto"/>
      </w:divBdr>
    </w:div>
    <w:div w:id="536357181">
      <w:bodyDiv w:val="1"/>
      <w:marLeft w:val="0"/>
      <w:marRight w:val="0"/>
      <w:marTop w:val="0"/>
      <w:marBottom w:val="0"/>
      <w:divBdr>
        <w:top w:val="none" w:sz="0" w:space="0" w:color="auto"/>
        <w:left w:val="none" w:sz="0" w:space="0" w:color="auto"/>
        <w:bottom w:val="none" w:sz="0" w:space="0" w:color="auto"/>
        <w:right w:val="none" w:sz="0" w:space="0" w:color="auto"/>
      </w:divBdr>
    </w:div>
    <w:div w:id="595557411">
      <w:bodyDiv w:val="1"/>
      <w:marLeft w:val="0"/>
      <w:marRight w:val="0"/>
      <w:marTop w:val="0"/>
      <w:marBottom w:val="0"/>
      <w:divBdr>
        <w:top w:val="none" w:sz="0" w:space="0" w:color="auto"/>
        <w:left w:val="none" w:sz="0" w:space="0" w:color="auto"/>
        <w:bottom w:val="none" w:sz="0" w:space="0" w:color="auto"/>
        <w:right w:val="none" w:sz="0" w:space="0" w:color="auto"/>
      </w:divBdr>
    </w:div>
    <w:div w:id="602147608">
      <w:bodyDiv w:val="1"/>
      <w:marLeft w:val="0"/>
      <w:marRight w:val="0"/>
      <w:marTop w:val="0"/>
      <w:marBottom w:val="0"/>
      <w:divBdr>
        <w:top w:val="none" w:sz="0" w:space="0" w:color="auto"/>
        <w:left w:val="none" w:sz="0" w:space="0" w:color="auto"/>
        <w:bottom w:val="none" w:sz="0" w:space="0" w:color="auto"/>
        <w:right w:val="none" w:sz="0" w:space="0" w:color="auto"/>
      </w:divBdr>
    </w:div>
    <w:div w:id="609582886">
      <w:bodyDiv w:val="1"/>
      <w:marLeft w:val="0"/>
      <w:marRight w:val="0"/>
      <w:marTop w:val="0"/>
      <w:marBottom w:val="0"/>
      <w:divBdr>
        <w:top w:val="none" w:sz="0" w:space="0" w:color="auto"/>
        <w:left w:val="none" w:sz="0" w:space="0" w:color="auto"/>
        <w:bottom w:val="none" w:sz="0" w:space="0" w:color="auto"/>
        <w:right w:val="none" w:sz="0" w:space="0" w:color="auto"/>
      </w:divBdr>
    </w:div>
    <w:div w:id="628433922">
      <w:bodyDiv w:val="1"/>
      <w:marLeft w:val="0"/>
      <w:marRight w:val="0"/>
      <w:marTop w:val="0"/>
      <w:marBottom w:val="0"/>
      <w:divBdr>
        <w:top w:val="none" w:sz="0" w:space="0" w:color="auto"/>
        <w:left w:val="none" w:sz="0" w:space="0" w:color="auto"/>
        <w:bottom w:val="none" w:sz="0" w:space="0" w:color="auto"/>
        <w:right w:val="none" w:sz="0" w:space="0" w:color="auto"/>
      </w:divBdr>
    </w:div>
    <w:div w:id="672295379">
      <w:bodyDiv w:val="1"/>
      <w:marLeft w:val="0"/>
      <w:marRight w:val="0"/>
      <w:marTop w:val="0"/>
      <w:marBottom w:val="0"/>
      <w:divBdr>
        <w:top w:val="none" w:sz="0" w:space="0" w:color="auto"/>
        <w:left w:val="none" w:sz="0" w:space="0" w:color="auto"/>
        <w:bottom w:val="none" w:sz="0" w:space="0" w:color="auto"/>
        <w:right w:val="none" w:sz="0" w:space="0" w:color="auto"/>
      </w:divBdr>
    </w:div>
    <w:div w:id="723984248">
      <w:bodyDiv w:val="1"/>
      <w:marLeft w:val="0"/>
      <w:marRight w:val="0"/>
      <w:marTop w:val="0"/>
      <w:marBottom w:val="0"/>
      <w:divBdr>
        <w:top w:val="none" w:sz="0" w:space="0" w:color="auto"/>
        <w:left w:val="none" w:sz="0" w:space="0" w:color="auto"/>
        <w:bottom w:val="none" w:sz="0" w:space="0" w:color="auto"/>
        <w:right w:val="none" w:sz="0" w:space="0" w:color="auto"/>
      </w:divBdr>
    </w:div>
    <w:div w:id="843934583">
      <w:bodyDiv w:val="1"/>
      <w:marLeft w:val="0"/>
      <w:marRight w:val="0"/>
      <w:marTop w:val="0"/>
      <w:marBottom w:val="0"/>
      <w:divBdr>
        <w:top w:val="none" w:sz="0" w:space="0" w:color="auto"/>
        <w:left w:val="none" w:sz="0" w:space="0" w:color="auto"/>
        <w:bottom w:val="none" w:sz="0" w:space="0" w:color="auto"/>
        <w:right w:val="none" w:sz="0" w:space="0" w:color="auto"/>
      </w:divBdr>
      <w:divsChild>
        <w:div w:id="1154495278">
          <w:marLeft w:val="0"/>
          <w:marRight w:val="0"/>
          <w:marTop w:val="0"/>
          <w:marBottom w:val="0"/>
          <w:divBdr>
            <w:top w:val="none" w:sz="0" w:space="0" w:color="auto"/>
            <w:left w:val="none" w:sz="0" w:space="0" w:color="auto"/>
            <w:bottom w:val="none" w:sz="0" w:space="0" w:color="auto"/>
            <w:right w:val="none" w:sz="0" w:space="0" w:color="auto"/>
          </w:divBdr>
        </w:div>
        <w:div w:id="118114967">
          <w:marLeft w:val="442"/>
          <w:marRight w:val="0"/>
          <w:marTop w:val="0"/>
          <w:marBottom w:val="177"/>
          <w:divBdr>
            <w:top w:val="none" w:sz="0" w:space="0" w:color="auto"/>
            <w:left w:val="none" w:sz="0" w:space="0" w:color="auto"/>
            <w:bottom w:val="none" w:sz="0" w:space="0" w:color="auto"/>
            <w:right w:val="none" w:sz="0" w:space="0" w:color="auto"/>
          </w:divBdr>
        </w:div>
      </w:divsChild>
    </w:div>
    <w:div w:id="933052506">
      <w:bodyDiv w:val="1"/>
      <w:marLeft w:val="0"/>
      <w:marRight w:val="0"/>
      <w:marTop w:val="0"/>
      <w:marBottom w:val="0"/>
      <w:divBdr>
        <w:top w:val="none" w:sz="0" w:space="0" w:color="auto"/>
        <w:left w:val="none" w:sz="0" w:space="0" w:color="auto"/>
        <w:bottom w:val="none" w:sz="0" w:space="0" w:color="auto"/>
        <w:right w:val="none" w:sz="0" w:space="0" w:color="auto"/>
      </w:divBdr>
    </w:div>
    <w:div w:id="974481031">
      <w:bodyDiv w:val="1"/>
      <w:marLeft w:val="0"/>
      <w:marRight w:val="0"/>
      <w:marTop w:val="0"/>
      <w:marBottom w:val="0"/>
      <w:divBdr>
        <w:top w:val="none" w:sz="0" w:space="0" w:color="auto"/>
        <w:left w:val="none" w:sz="0" w:space="0" w:color="auto"/>
        <w:bottom w:val="none" w:sz="0" w:space="0" w:color="auto"/>
        <w:right w:val="none" w:sz="0" w:space="0" w:color="auto"/>
      </w:divBdr>
    </w:div>
    <w:div w:id="976254736">
      <w:bodyDiv w:val="1"/>
      <w:marLeft w:val="0"/>
      <w:marRight w:val="0"/>
      <w:marTop w:val="0"/>
      <w:marBottom w:val="0"/>
      <w:divBdr>
        <w:top w:val="none" w:sz="0" w:space="0" w:color="auto"/>
        <w:left w:val="none" w:sz="0" w:space="0" w:color="auto"/>
        <w:bottom w:val="none" w:sz="0" w:space="0" w:color="auto"/>
        <w:right w:val="none" w:sz="0" w:space="0" w:color="auto"/>
      </w:divBdr>
    </w:div>
    <w:div w:id="987513433">
      <w:bodyDiv w:val="1"/>
      <w:marLeft w:val="0"/>
      <w:marRight w:val="0"/>
      <w:marTop w:val="0"/>
      <w:marBottom w:val="0"/>
      <w:divBdr>
        <w:top w:val="none" w:sz="0" w:space="0" w:color="auto"/>
        <w:left w:val="none" w:sz="0" w:space="0" w:color="auto"/>
        <w:bottom w:val="none" w:sz="0" w:space="0" w:color="auto"/>
        <w:right w:val="none" w:sz="0" w:space="0" w:color="auto"/>
      </w:divBdr>
    </w:div>
    <w:div w:id="995495474">
      <w:bodyDiv w:val="1"/>
      <w:marLeft w:val="0"/>
      <w:marRight w:val="0"/>
      <w:marTop w:val="0"/>
      <w:marBottom w:val="0"/>
      <w:divBdr>
        <w:top w:val="none" w:sz="0" w:space="0" w:color="auto"/>
        <w:left w:val="none" w:sz="0" w:space="0" w:color="auto"/>
        <w:bottom w:val="none" w:sz="0" w:space="0" w:color="auto"/>
        <w:right w:val="none" w:sz="0" w:space="0" w:color="auto"/>
      </w:divBdr>
    </w:div>
    <w:div w:id="1002202682">
      <w:bodyDiv w:val="1"/>
      <w:marLeft w:val="0"/>
      <w:marRight w:val="0"/>
      <w:marTop w:val="0"/>
      <w:marBottom w:val="0"/>
      <w:divBdr>
        <w:top w:val="none" w:sz="0" w:space="0" w:color="auto"/>
        <w:left w:val="none" w:sz="0" w:space="0" w:color="auto"/>
        <w:bottom w:val="none" w:sz="0" w:space="0" w:color="auto"/>
        <w:right w:val="none" w:sz="0" w:space="0" w:color="auto"/>
      </w:divBdr>
    </w:div>
    <w:div w:id="1067613282">
      <w:bodyDiv w:val="1"/>
      <w:marLeft w:val="0"/>
      <w:marRight w:val="0"/>
      <w:marTop w:val="0"/>
      <w:marBottom w:val="0"/>
      <w:divBdr>
        <w:top w:val="none" w:sz="0" w:space="0" w:color="auto"/>
        <w:left w:val="none" w:sz="0" w:space="0" w:color="auto"/>
        <w:bottom w:val="none" w:sz="0" w:space="0" w:color="auto"/>
        <w:right w:val="none" w:sz="0" w:space="0" w:color="auto"/>
      </w:divBdr>
    </w:div>
    <w:div w:id="1093890856">
      <w:bodyDiv w:val="1"/>
      <w:marLeft w:val="0"/>
      <w:marRight w:val="0"/>
      <w:marTop w:val="0"/>
      <w:marBottom w:val="0"/>
      <w:divBdr>
        <w:top w:val="none" w:sz="0" w:space="0" w:color="auto"/>
        <w:left w:val="none" w:sz="0" w:space="0" w:color="auto"/>
        <w:bottom w:val="none" w:sz="0" w:space="0" w:color="auto"/>
        <w:right w:val="none" w:sz="0" w:space="0" w:color="auto"/>
      </w:divBdr>
    </w:div>
    <w:div w:id="1121267487">
      <w:bodyDiv w:val="1"/>
      <w:marLeft w:val="0"/>
      <w:marRight w:val="0"/>
      <w:marTop w:val="0"/>
      <w:marBottom w:val="0"/>
      <w:divBdr>
        <w:top w:val="none" w:sz="0" w:space="0" w:color="auto"/>
        <w:left w:val="none" w:sz="0" w:space="0" w:color="auto"/>
        <w:bottom w:val="none" w:sz="0" w:space="0" w:color="auto"/>
        <w:right w:val="none" w:sz="0" w:space="0" w:color="auto"/>
      </w:divBdr>
    </w:div>
    <w:div w:id="1144155380">
      <w:bodyDiv w:val="1"/>
      <w:marLeft w:val="0"/>
      <w:marRight w:val="0"/>
      <w:marTop w:val="0"/>
      <w:marBottom w:val="0"/>
      <w:divBdr>
        <w:top w:val="none" w:sz="0" w:space="0" w:color="auto"/>
        <w:left w:val="none" w:sz="0" w:space="0" w:color="auto"/>
        <w:bottom w:val="none" w:sz="0" w:space="0" w:color="auto"/>
        <w:right w:val="none" w:sz="0" w:space="0" w:color="auto"/>
      </w:divBdr>
    </w:div>
    <w:div w:id="1146163598">
      <w:bodyDiv w:val="1"/>
      <w:marLeft w:val="0"/>
      <w:marRight w:val="0"/>
      <w:marTop w:val="0"/>
      <w:marBottom w:val="0"/>
      <w:divBdr>
        <w:top w:val="none" w:sz="0" w:space="0" w:color="auto"/>
        <w:left w:val="none" w:sz="0" w:space="0" w:color="auto"/>
        <w:bottom w:val="none" w:sz="0" w:space="0" w:color="auto"/>
        <w:right w:val="none" w:sz="0" w:space="0" w:color="auto"/>
      </w:divBdr>
    </w:div>
    <w:div w:id="1155951068">
      <w:bodyDiv w:val="1"/>
      <w:marLeft w:val="0"/>
      <w:marRight w:val="0"/>
      <w:marTop w:val="0"/>
      <w:marBottom w:val="0"/>
      <w:divBdr>
        <w:top w:val="none" w:sz="0" w:space="0" w:color="auto"/>
        <w:left w:val="none" w:sz="0" w:space="0" w:color="auto"/>
        <w:bottom w:val="none" w:sz="0" w:space="0" w:color="auto"/>
        <w:right w:val="none" w:sz="0" w:space="0" w:color="auto"/>
      </w:divBdr>
    </w:div>
    <w:div w:id="1156411476">
      <w:bodyDiv w:val="1"/>
      <w:marLeft w:val="0"/>
      <w:marRight w:val="0"/>
      <w:marTop w:val="0"/>
      <w:marBottom w:val="0"/>
      <w:divBdr>
        <w:top w:val="none" w:sz="0" w:space="0" w:color="auto"/>
        <w:left w:val="none" w:sz="0" w:space="0" w:color="auto"/>
        <w:bottom w:val="none" w:sz="0" w:space="0" w:color="auto"/>
        <w:right w:val="none" w:sz="0" w:space="0" w:color="auto"/>
      </w:divBdr>
    </w:div>
    <w:div w:id="1187911315">
      <w:bodyDiv w:val="1"/>
      <w:marLeft w:val="0"/>
      <w:marRight w:val="0"/>
      <w:marTop w:val="0"/>
      <w:marBottom w:val="0"/>
      <w:divBdr>
        <w:top w:val="none" w:sz="0" w:space="0" w:color="auto"/>
        <w:left w:val="none" w:sz="0" w:space="0" w:color="auto"/>
        <w:bottom w:val="none" w:sz="0" w:space="0" w:color="auto"/>
        <w:right w:val="none" w:sz="0" w:space="0" w:color="auto"/>
      </w:divBdr>
    </w:div>
    <w:div w:id="1202085096">
      <w:bodyDiv w:val="1"/>
      <w:marLeft w:val="0"/>
      <w:marRight w:val="0"/>
      <w:marTop w:val="0"/>
      <w:marBottom w:val="0"/>
      <w:divBdr>
        <w:top w:val="none" w:sz="0" w:space="0" w:color="auto"/>
        <w:left w:val="none" w:sz="0" w:space="0" w:color="auto"/>
        <w:bottom w:val="none" w:sz="0" w:space="0" w:color="auto"/>
        <w:right w:val="none" w:sz="0" w:space="0" w:color="auto"/>
      </w:divBdr>
    </w:div>
    <w:div w:id="1263680682">
      <w:bodyDiv w:val="1"/>
      <w:marLeft w:val="0"/>
      <w:marRight w:val="0"/>
      <w:marTop w:val="0"/>
      <w:marBottom w:val="0"/>
      <w:divBdr>
        <w:top w:val="none" w:sz="0" w:space="0" w:color="auto"/>
        <w:left w:val="none" w:sz="0" w:space="0" w:color="auto"/>
        <w:bottom w:val="none" w:sz="0" w:space="0" w:color="auto"/>
        <w:right w:val="none" w:sz="0" w:space="0" w:color="auto"/>
      </w:divBdr>
    </w:div>
    <w:div w:id="1329166345">
      <w:bodyDiv w:val="1"/>
      <w:marLeft w:val="0"/>
      <w:marRight w:val="0"/>
      <w:marTop w:val="0"/>
      <w:marBottom w:val="0"/>
      <w:divBdr>
        <w:top w:val="none" w:sz="0" w:space="0" w:color="auto"/>
        <w:left w:val="none" w:sz="0" w:space="0" w:color="auto"/>
        <w:bottom w:val="none" w:sz="0" w:space="0" w:color="auto"/>
        <w:right w:val="none" w:sz="0" w:space="0" w:color="auto"/>
      </w:divBdr>
    </w:div>
    <w:div w:id="1366638583">
      <w:bodyDiv w:val="1"/>
      <w:marLeft w:val="0"/>
      <w:marRight w:val="0"/>
      <w:marTop w:val="0"/>
      <w:marBottom w:val="0"/>
      <w:divBdr>
        <w:top w:val="none" w:sz="0" w:space="0" w:color="auto"/>
        <w:left w:val="none" w:sz="0" w:space="0" w:color="auto"/>
        <w:bottom w:val="none" w:sz="0" w:space="0" w:color="auto"/>
        <w:right w:val="none" w:sz="0" w:space="0" w:color="auto"/>
      </w:divBdr>
    </w:div>
    <w:div w:id="1398163459">
      <w:bodyDiv w:val="1"/>
      <w:marLeft w:val="0"/>
      <w:marRight w:val="0"/>
      <w:marTop w:val="0"/>
      <w:marBottom w:val="0"/>
      <w:divBdr>
        <w:top w:val="none" w:sz="0" w:space="0" w:color="auto"/>
        <w:left w:val="none" w:sz="0" w:space="0" w:color="auto"/>
        <w:bottom w:val="none" w:sz="0" w:space="0" w:color="auto"/>
        <w:right w:val="none" w:sz="0" w:space="0" w:color="auto"/>
      </w:divBdr>
    </w:div>
    <w:div w:id="1408959413">
      <w:bodyDiv w:val="1"/>
      <w:marLeft w:val="0"/>
      <w:marRight w:val="0"/>
      <w:marTop w:val="0"/>
      <w:marBottom w:val="0"/>
      <w:divBdr>
        <w:top w:val="none" w:sz="0" w:space="0" w:color="auto"/>
        <w:left w:val="none" w:sz="0" w:space="0" w:color="auto"/>
        <w:bottom w:val="none" w:sz="0" w:space="0" w:color="auto"/>
        <w:right w:val="none" w:sz="0" w:space="0" w:color="auto"/>
      </w:divBdr>
    </w:div>
    <w:div w:id="1436751236">
      <w:bodyDiv w:val="1"/>
      <w:marLeft w:val="0"/>
      <w:marRight w:val="0"/>
      <w:marTop w:val="0"/>
      <w:marBottom w:val="0"/>
      <w:divBdr>
        <w:top w:val="none" w:sz="0" w:space="0" w:color="auto"/>
        <w:left w:val="none" w:sz="0" w:space="0" w:color="auto"/>
        <w:bottom w:val="none" w:sz="0" w:space="0" w:color="auto"/>
        <w:right w:val="none" w:sz="0" w:space="0" w:color="auto"/>
      </w:divBdr>
    </w:div>
    <w:div w:id="1461847582">
      <w:bodyDiv w:val="1"/>
      <w:marLeft w:val="0"/>
      <w:marRight w:val="0"/>
      <w:marTop w:val="0"/>
      <w:marBottom w:val="0"/>
      <w:divBdr>
        <w:top w:val="none" w:sz="0" w:space="0" w:color="auto"/>
        <w:left w:val="none" w:sz="0" w:space="0" w:color="auto"/>
        <w:bottom w:val="none" w:sz="0" w:space="0" w:color="auto"/>
        <w:right w:val="none" w:sz="0" w:space="0" w:color="auto"/>
      </w:divBdr>
    </w:div>
    <w:div w:id="1546210818">
      <w:bodyDiv w:val="1"/>
      <w:marLeft w:val="0"/>
      <w:marRight w:val="0"/>
      <w:marTop w:val="0"/>
      <w:marBottom w:val="0"/>
      <w:divBdr>
        <w:top w:val="none" w:sz="0" w:space="0" w:color="auto"/>
        <w:left w:val="none" w:sz="0" w:space="0" w:color="auto"/>
        <w:bottom w:val="none" w:sz="0" w:space="0" w:color="auto"/>
        <w:right w:val="none" w:sz="0" w:space="0" w:color="auto"/>
      </w:divBdr>
    </w:div>
    <w:div w:id="1549028330">
      <w:bodyDiv w:val="1"/>
      <w:marLeft w:val="0"/>
      <w:marRight w:val="0"/>
      <w:marTop w:val="0"/>
      <w:marBottom w:val="0"/>
      <w:divBdr>
        <w:top w:val="none" w:sz="0" w:space="0" w:color="auto"/>
        <w:left w:val="none" w:sz="0" w:space="0" w:color="auto"/>
        <w:bottom w:val="none" w:sz="0" w:space="0" w:color="auto"/>
        <w:right w:val="none" w:sz="0" w:space="0" w:color="auto"/>
      </w:divBdr>
    </w:div>
    <w:div w:id="1577789504">
      <w:bodyDiv w:val="1"/>
      <w:marLeft w:val="0"/>
      <w:marRight w:val="0"/>
      <w:marTop w:val="0"/>
      <w:marBottom w:val="0"/>
      <w:divBdr>
        <w:top w:val="none" w:sz="0" w:space="0" w:color="auto"/>
        <w:left w:val="none" w:sz="0" w:space="0" w:color="auto"/>
        <w:bottom w:val="none" w:sz="0" w:space="0" w:color="auto"/>
        <w:right w:val="none" w:sz="0" w:space="0" w:color="auto"/>
      </w:divBdr>
    </w:div>
    <w:div w:id="1597052044">
      <w:bodyDiv w:val="1"/>
      <w:marLeft w:val="0"/>
      <w:marRight w:val="0"/>
      <w:marTop w:val="0"/>
      <w:marBottom w:val="0"/>
      <w:divBdr>
        <w:top w:val="none" w:sz="0" w:space="0" w:color="auto"/>
        <w:left w:val="none" w:sz="0" w:space="0" w:color="auto"/>
        <w:bottom w:val="none" w:sz="0" w:space="0" w:color="auto"/>
        <w:right w:val="none" w:sz="0" w:space="0" w:color="auto"/>
      </w:divBdr>
    </w:div>
    <w:div w:id="1607928358">
      <w:bodyDiv w:val="1"/>
      <w:marLeft w:val="0"/>
      <w:marRight w:val="0"/>
      <w:marTop w:val="0"/>
      <w:marBottom w:val="0"/>
      <w:divBdr>
        <w:top w:val="none" w:sz="0" w:space="0" w:color="auto"/>
        <w:left w:val="none" w:sz="0" w:space="0" w:color="auto"/>
        <w:bottom w:val="none" w:sz="0" w:space="0" w:color="auto"/>
        <w:right w:val="none" w:sz="0" w:space="0" w:color="auto"/>
      </w:divBdr>
    </w:div>
    <w:div w:id="1609971146">
      <w:bodyDiv w:val="1"/>
      <w:marLeft w:val="0"/>
      <w:marRight w:val="0"/>
      <w:marTop w:val="0"/>
      <w:marBottom w:val="0"/>
      <w:divBdr>
        <w:top w:val="none" w:sz="0" w:space="0" w:color="auto"/>
        <w:left w:val="none" w:sz="0" w:space="0" w:color="auto"/>
        <w:bottom w:val="none" w:sz="0" w:space="0" w:color="auto"/>
        <w:right w:val="none" w:sz="0" w:space="0" w:color="auto"/>
      </w:divBdr>
    </w:div>
    <w:div w:id="1615403561">
      <w:bodyDiv w:val="1"/>
      <w:marLeft w:val="0"/>
      <w:marRight w:val="0"/>
      <w:marTop w:val="0"/>
      <w:marBottom w:val="0"/>
      <w:divBdr>
        <w:top w:val="none" w:sz="0" w:space="0" w:color="auto"/>
        <w:left w:val="none" w:sz="0" w:space="0" w:color="auto"/>
        <w:bottom w:val="none" w:sz="0" w:space="0" w:color="auto"/>
        <w:right w:val="none" w:sz="0" w:space="0" w:color="auto"/>
      </w:divBdr>
    </w:div>
    <w:div w:id="1665739973">
      <w:bodyDiv w:val="1"/>
      <w:marLeft w:val="0"/>
      <w:marRight w:val="0"/>
      <w:marTop w:val="0"/>
      <w:marBottom w:val="0"/>
      <w:divBdr>
        <w:top w:val="none" w:sz="0" w:space="0" w:color="auto"/>
        <w:left w:val="none" w:sz="0" w:space="0" w:color="auto"/>
        <w:bottom w:val="none" w:sz="0" w:space="0" w:color="auto"/>
        <w:right w:val="none" w:sz="0" w:space="0" w:color="auto"/>
      </w:divBdr>
    </w:div>
    <w:div w:id="1672222687">
      <w:bodyDiv w:val="1"/>
      <w:marLeft w:val="0"/>
      <w:marRight w:val="0"/>
      <w:marTop w:val="0"/>
      <w:marBottom w:val="0"/>
      <w:divBdr>
        <w:top w:val="none" w:sz="0" w:space="0" w:color="auto"/>
        <w:left w:val="none" w:sz="0" w:space="0" w:color="auto"/>
        <w:bottom w:val="none" w:sz="0" w:space="0" w:color="auto"/>
        <w:right w:val="none" w:sz="0" w:space="0" w:color="auto"/>
      </w:divBdr>
    </w:div>
    <w:div w:id="1695494314">
      <w:bodyDiv w:val="1"/>
      <w:marLeft w:val="0"/>
      <w:marRight w:val="0"/>
      <w:marTop w:val="0"/>
      <w:marBottom w:val="0"/>
      <w:divBdr>
        <w:top w:val="none" w:sz="0" w:space="0" w:color="auto"/>
        <w:left w:val="none" w:sz="0" w:space="0" w:color="auto"/>
        <w:bottom w:val="none" w:sz="0" w:space="0" w:color="auto"/>
        <w:right w:val="none" w:sz="0" w:space="0" w:color="auto"/>
      </w:divBdr>
    </w:div>
    <w:div w:id="1702515919">
      <w:bodyDiv w:val="1"/>
      <w:marLeft w:val="0"/>
      <w:marRight w:val="0"/>
      <w:marTop w:val="0"/>
      <w:marBottom w:val="0"/>
      <w:divBdr>
        <w:top w:val="none" w:sz="0" w:space="0" w:color="auto"/>
        <w:left w:val="none" w:sz="0" w:space="0" w:color="auto"/>
        <w:bottom w:val="none" w:sz="0" w:space="0" w:color="auto"/>
        <w:right w:val="none" w:sz="0" w:space="0" w:color="auto"/>
      </w:divBdr>
    </w:div>
    <w:div w:id="1715615054">
      <w:bodyDiv w:val="1"/>
      <w:marLeft w:val="0"/>
      <w:marRight w:val="0"/>
      <w:marTop w:val="0"/>
      <w:marBottom w:val="0"/>
      <w:divBdr>
        <w:top w:val="none" w:sz="0" w:space="0" w:color="auto"/>
        <w:left w:val="none" w:sz="0" w:space="0" w:color="auto"/>
        <w:bottom w:val="none" w:sz="0" w:space="0" w:color="auto"/>
        <w:right w:val="none" w:sz="0" w:space="0" w:color="auto"/>
      </w:divBdr>
    </w:div>
    <w:div w:id="1731340397">
      <w:bodyDiv w:val="1"/>
      <w:marLeft w:val="0"/>
      <w:marRight w:val="0"/>
      <w:marTop w:val="0"/>
      <w:marBottom w:val="0"/>
      <w:divBdr>
        <w:top w:val="none" w:sz="0" w:space="0" w:color="auto"/>
        <w:left w:val="none" w:sz="0" w:space="0" w:color="auto"/>
        <w:bottom w:val="none" w:sz="0" w:space="0" w:color="auto"/>
        <w:right w:val="none" w:sz="0" w:space="0" w:color="auto"/>
      </w:divBdr>
    </w:div>
    <w:div w:id="1746949497">
      <w:bodyDiv w:val="1"/>
      <w:marLeft w:val="0"/>
      <w:marRight w:val="0"/>
      <w:marTop w:val="0"/>
      <w:marBottom w:val="0"/>
      <w:divBdr>
        <w:top w:val="none" w:sz="0" w:space="0" w:color="auto"/>
        <w:left w:val="none" w:sz="0" w:space="0" w:color="auto"/>
        <w:bottom w:val="none" w:sz="0" w:space="0" w:color="auto"/>
        <w:right w:val="none" w:sz="0" w:space="0" w:color="auto"/>
      </w:divBdr>
      <w:divsChild>
        <w:div w:id="869414625">
          <w:marLeft w:val="0"/>
          <w:marRight w:val="0"/>
          <w:marTop w:val="0"/>
          <w:marBottom w:val="0"/>
          <w:divBdr>
            <w:top w:val="none" w:sz="0" w:space="0" w:color="auto"/>
            <w:left w:val="none" w:sz="0" w:space="0" w:color="auto"/>
            <w:bottom w:val="none" w:sz="0" w:space="0" w:color="auto"/>
            <w:right w:val="none" w:sz="0" w:space="0" w:color="auto"/>
          </w:divBdr>
          <w:divsChild>
            <w:div w:id="1673680076">
              <w:marLeft w:val="0"/>
              <w:marRight w:val="0"/>
              <w:marTop w:val="0"/>
              <w:marBottom w:val="0"/>
              <w:divBdr>
                <w:top w:val="none" w:sz="0" w:space="0" w:color="auto"/>
                <w:left w:val="none" w:sz="0" w:space="0" w:color="auto"/>
                <w:bottom w:val="none" w:sz="0" w:space="0" w:color="auto"/>
                <w:right w:val="none" w:sz="0" w:space="0" w:color="auto"/>
              </w:divBdr>
            </w:div>
          </w:divsChild>
        </w:div>
        <w:div w:id="1919367147">
          <w:marLeft w:val="0"/>
          <w:marRight w:val="0"/>
          <w:marTop w:val="0"/>
          <w:marBottom w:val="62"/>
          <w:divBdr>
            <w:top w:val="none" w:sz="0" w:space="0" w:color="auto"/>
            <w:left w:val="none" w:sz="0" w:space="0" w:color="auto"/>
            <w:bottom w:val="none" w:sz="0" w:space="0" w:color="auto"/>
            <w:right w:val="none" w:sz="0" w:space="0" w:color="auto"/>
          </w:divBdr>
          <w:divsChild>
            <w:div w:id="18942933">
              <w:marLeft w:val="0"/>
              <w:marRight w:val="0"/>
              <w:marTop w:val="0"/>
              <w:marBottom w:val="44"/>
              <w:divBdr>
                <w:top w:val="none" w:sz="0" w:space="0" w:color="auto"/>
                <w:left w:val="none" w:sz="0" w:space="0" w:color="auto"/>
                <w:bottom w:val="none" w:sz="0" w:space="0" w:color="auto"/>
                <w:right w:val="none" w:sz="0" w:space="0" w:color="auto"/>
              </w:divBdr>
            </w:div>
          </w:divsChild>
        </w:div>
        <w:div w:id="1705326192">
          <w:marLeft w:val="0"/>
          <w:marRight w:val="0"/>
          <w:marTop w:val="0"/>
          <w:marBottom w:val="0"/>
          <w:divBdr>
            <w:top w:val="none" w:sz="0" w:space="0" w:color="auto"/>
            <w:left w:val="none" w:sz="0" w:space="0" w:color="auto"/>
            <w:bottom w:val="none" w:sz="0" w:space="0" w:color="auto"/>
            <w:right w:val="none" w:sz="0" w:space="0" w:color="auto"/>
          </w:divBdr>
          <w:divsChild>
            <w:div w:id="1264413611">
              <w:marLeft w:val="0"/>
              <w:marRight w:val="0"/>
              <w:marTop w:val="0"/>
              <w:marBottom w:val="0"/>
              <w:divBdr>
                <w:top w:val="none" w:sz="0" w:space="0" w:color="auto"/>
                <w:left w:val="none" w:sz="0" w:space="0" w:color="auto"/>
                <w:bottom w:val="none" w:sz="0" w:space="0" w:color="auto"/>
                <w:right w:val="none" w:sz="0" w:space="0" w:color="auto"/>
              </w:divBdr>
            </w:div>
            <w:div w:id="400640611">
              <w:marLeft w:val="0"/>
              <w:marRight w:val="0"/>
              <w:marTop w:val="0"/>
              <w:marBottom w:val="0"/>
              <w:divBdr>
                <w:top w:val="none" w:sz="0" w:space="0" w:color="auto"/>
                <w:left w:val="none" w:sz="0" w:space="0" w:color="auto"/>
                <w:bottom w:val="none" w:sz="0" w:space="0" w:color="auto"/>
                <w:right w:val="none" w:sz="0" w:space="0" w:color="auto"/>
              </w:divBdr>
            </w:div>
          </w:divsChild>
        </w:div>
        <w:div w:id="696351221">
          <w:marLeft w:val="0"/>
          <w:marRight w:val="0"/>
          <w:marTop w:val="0"/>
          <w:marBottom w:val="0"/>
          <w:divBdr>
            <w:top w:val="none" w:sz="0" w:space="0" w:color="auto"/>
            <w:left w:val="none" w:sz="0" w:space="0" w:color="auto"/>
            <w:bottom w:val="none" w:sz="0" w:space="0" w:color="auto"/>
            <w:right w:val="none" w:sz="0" w:space="0" w:color="auto"/>
          </w:divBdr>
          <w:divsChild>
            <w:div w:id="812678220">
              <w:marLeft w:val="0"/>
              <w:marRight w:val="0"/>
              <w:marTop w:val="0"/>
              <w:marBottom w:val="0"/>
              <w:divBdr>
                <w:top w:val="none" w:sz="0" w:space="0" w:color="auto"/>
                <w:left w:val="none" w:sz="0" w:space="0" w:color="auto"/>
                <w:bottom w:val="none" w:sz="0" w:space="0" w:color="auto"/>
                <w:right w:val="none" w:sz="0" w:space="0" w:color="auto"/>
              </w:divBdr>
              <w:divsChild>
                <w:div w:id="213586693">
                  <w:marLeft w:val="0"/>
                  <w:marRight w:val="0"/>
                  <w:marTop w:val="0"/>
                  <w:marBottom w:val="177"/>
                  <w:divBdr>
                    <w:top w:val="none" w:sz="0" w:space="0" w:color="auto"/>
                    <w:left w:val="none" w:sz="0" w:space="0" w:color="auto"/>
                    <w:bottom w:val="none" w:sz="0" w:space="0" w:color="auto"/>
                    <w:right w:val="none" w:sz="0" w:space="0" w:color="auto"/>
                  </w:divBdr>
                </w:div>
              </w:divsChild>
            </w:div>
          </w:divsChild>
        </w:div>
      </w:divsChild>
    </w:div>
    <w:div w:id="1788693499">
      <w:bodyDiv w:val="1"/>
      <w:marLeft w:val="0"/>
      <w:marRight w:val="0"/>
      <w:marTop w:val="0"/>
      <w:marBottom w:val="0"/>
      <w:divBdr>
        <w:top w:val="none" w:sz="0" w:space="0" w:color="auto"/>
        <w:left w:val="none" w:sz="0" w:space="0" w:color="auto"/>
        <w:bottom w:val="none" w:sz="0" w:space="0" w:color="auto"/>
        <w:right w:val="none" w:sz="0" w:space="0" w:color="auto"/>
      </w:divBdr>
    </w:div>
    <w:div w:id="1853835631">
      <w:bodyDiv w:val="1"/>
      <w:marLeft w:val="0"/>
      <w:marRight w:val="0"/>
      <w:marTop w:val="0"/>
      <w:marBottom w:val="0"/>
      <w:divBdr>
        <w:top w:val="none" w:sz="0" w:space="0" w:color="auto"/>
        <w:left w:val="none" w:sz="0" w:space="0" w:color="auto"/>
        <w:bottom w:val="none" w:sz="0" w:space="0" w:color="auto"/>
        <w:right w:val="none" w:sz="0" w:space="0" w:color="auto"/>
      </w:divBdr>
    </w:div>
    <w:div w:id="1855800104">
      <w:bodyDiv w:val="1"/>
      <w:marLeft w:val="0"/>
      <w:marRight w:val="0"/>
      <w:marTop w:val="0"/>
      <w:marBottom w:val="0"/>
      <w:divBdr>
        <w:top w:val="none" w:sz="0" w:space="0" w:color="auto"/>
        <w:left w:val="none" w:sz="0" w:space="0" w:color="auto"/>
        <w:bottom w:val="none" w:sz="0" w:space="0" w:color="auto"/>
        <w:right w:val="none" w:sz="0" w:space="0" w:color="auto"/>
      </w:divBdr>
    </w:div>
    <w:div w:id="1856070213">
      <w:bodyDiv w:val="1"/>
      <w:marLeft w:val="0"/>
      <w:marRight w:val="0"/>
      <w:marTop w:val="0"/>
      <w:marBottom w:val="0"/>
      <w:divBdr>
        <w:top w:val="none" w:sz="0" w:space="0" w:color="auto"/>
        <w:left w:val="none" w:sz="0" w:space="0" w:color="auto"/>
        <w:bottom w:val="none" w:sz="0" w:space="0" w:color="auto"/>
        <w:right w:val="none" w:sz="0" w:space="0" w:color="auto"/>
      </w:divBdr>
    </w:div>
    <w:div w:id="1863593749">
      <w:bodyDiv w:val="1"/>
      <w:marLeft w:val="0"/>
      <w:marRight w:val="0"/>
      <w:marTop w:val="0"/>
      <w:marBottom w:val="0"/>
      <w:divBdr>
        <w:top w:val="none" w:sz="0" w:space="0" w:color="auto"/>
        <w:left w:val="none" w:sz="0" w:space="0" w:color="auto"/>
        <w:bottom w:val="none" w:sz="0" w:space="0" w:color="auto"/>
        <w:right w:val="none" w:sz="0" w:space="0" w:color="auto"/>
      </w:divBdr>
    </w:div>
    <w:div w:id="2007240951">
      <w:bodyDiv w:val="1"/>
      <w:marLeft w:val="0"/>
      <w:marRight w:val="0"/>
      <w:marTop w:val="0"/>
      <w:marBottom w:val="0"/>
      <w:divBdr>
        <w:top w:val="none" w:sz="0" w:space="0" w:color="auto"/>
        <w:left w:val="none" w:sz="0" w:space="0" w:color="auto"/>
        <w:bottom w:val="none" w:sz="0" w:space="0" w:color="auto"/>
        <w:right w:val="none" w:sz="0" w:space="0" w:color="auto"/>
      </w:divBdr>
    </w:div>
    <w:div w:id="2030987415">
      <w:bodyDiv w:val="1"/>
      <w:marLeft w:val="0"/>
      <w:marRight w:val="0"/>
      <w:marTop w:val="0"/>
      <w:marBottom w:val="0"/>
      <w:divBdr>
        <w:top w:val="none" w:sz="0" w:space="0" w:color="auto"/>
        <w:left w:val="none" w:sz="0" w:space="0" w:color="auto"/>
        <w:bottom w:val="none" w:sz="0" w:space="0" w:color="auto"/>
        <w:right w:val="none" w:sz="0" w:space="0" w:color="auto"/>
      </w:divBdr>
      <w:divsChild>
        <w:div w:id="556164611">
          <w:marLeft w:val="0"/>
          <w:marRight w:val="0"/>
          <w:marTop w:val="0"/>
          <w:marBottom w:val="0"/>
          <w:divBdr>
            <w:top w:val="none" w:sz="0" w:space="0" w:color="auto"/>
            <w:left w:val="none" w:sz="0" w:space="0" w:color="auto"/>
            <w:bottom w:val="none" w:sz="0" w:space="0" w:color="auto"/>
            <w:right w:val="none" w:sz="0" w:space="0" w:color="auto"/>
          </w:divBdr>
          <w:divsChild>
            <w:div w:id="803422613">
              <w:marLeft w:val="0"/>
              <w:marRight w:val="0"/>
              <w:marTop w:val="0"/>
              <w:marBottom w:val="35"/>
              <w:divBdr>
                <w:top w:val="none" w:sz="0" w:space="0" w:color="auto"/>
                <w:left w:val="none" w:sz="0" w:space="0" w:color="auto"/>
                <w:bottom w:val="none" w:sz="0" w:space="0" w:color="auto"/>
                <w:right w:val="none" w:sz="0" w:space="0" w:color="auto"/>
              </w:divBdr>
            </w:div>
            <w:div w:id="394546668">
              <w:marLeft w:val="0"/>
              <w:marRight w:val="0"/>
              <w:marTop w:val="150"/>
              <w:marBottom w:val="35"/>
              <w:divBdr>
                <w:top w:val="none" w:sz="0" w:space="0" w:color="auto"/>
                <w:left w:val="none" w:sz="0" w:space="0" w:color="auto"/>
                <w:bottom w:val="none" w:sz="0" w:space="0" w:color="auto"/>
                <w:right w:val="none" w:sz="0" w:space="0" w:color="auto"/>
              </w:divBdr>
              <w:divsChild>
                <w:div w:id="138613298">
                  <w:marLeft w:val="0"/>
                  <w:marRight w:val="0"/>
                  <w:marTop w:val="0"/>
                  <w:marBottom w:val="35"/>
                  <w:divBdr>
                    <w:top w:val="none" w:sz="0" w:space="0" w:color="auto"/>
                    <w:left w:val="none" w:sz="0" w:space="0" w:color="auto"/>
                    <w:bottom w:val="none" w:sz="0" w:space="0" w:color="auto"/>
                    <w:right w:val="none" w:sz="0" w:space="0" w:color="auto"/>
                  </w:divBdr>
                </w:div>
              </w:divsChild>
            </w:div>
            <w:div w:id="1342392348">
              <w:marLeft w:val="0"/>
              <w:marRight w:val="0"/>
              <w:marTop w:val="177"/>
              <w:marBottom w:val="177"/>
              <w:divBdr>
                <w:top w:val="single" w:sz="4" w:space="2" w:color="E6E6E6"/>
                <w:left w:val="single" w:sz="2" w:space="0" w:color="E6E6E6"/>
                <w:bottom w:val="single" w:sz="4" w:space="4" w:color="E6E6E6"/>
                <w:right w:val="single" w:sz="2" w:space="0" w:color="E6E6E6"/>
              </w:divBdr>
              <w:divsChild>
                <w:div w:id="86586954">
                  <w:marLeft w:val="0"/>
                  <w:marRight w:val="0"/>
                  <w:marTop w:val="0"/>
                  <w:marBottom w:val="0"/>
                  <w:divBdr>
                    <w:top w:val="none" w:sz="0" w:space="0" w:color="auto"/>
                    <w:left w:val="none" w:sz="0" w:space="0" w:color="auto"/>
                    <w:bottom w:val="none" w:sz="0" w:space="0" w:color="auto"/>
                    <w:right w:val="none" w:sz="0" w:space="0" w:color="auto"/>
                  </w:divBdr>
                  <w:divsChild>
                    <w:div w:id="761412479">
                      <w:marLeft w:val="0"/>
                      <w:marRight w:val="0"/>
                      <w:marTop w:val="0"/>
                      <w:marBottom w:val="0"/>
                      <w:divBdr>
                        <w:top w:val="none" w:sz="0" w:space="0" w:color="auto"/>
                        <w:left w:val="none" w:sz="0" w:space="0" w:color="auto"/>
                        <w:bottom w:val="none" w:sz="0" w:space="0" w:color="auto"/>
                        <w:right w:val="none" w:sz="0" w:space="0" w:color="auto"/>
                      </w:divBdr>
                      <w:divsChild>
                        <w:div w:id="1754157053">
                          <w:marLeft w:val="0"/>
                          <w:marRight w:val="0"/>
                          <w:marTop w:val="0"/>
                          <w:marBottom w:val="0"/>
                          <w:divBdr>
                            <w:top w:val="none" w:sz="0" w:space="0" w:color="auto"/>
                            <w:left w:val="none" w:sz="0" w:space="0" w:color="auto"/>
                            <w:bottom w:val="none" w:sz="0" w:space="0" w:color="auto"/>
                            <w:right w:val="none" w:sz="0" w:space="0" w:color="auto"/>
                          </w:divBdr>
                          <w:divsChild>
                            <w:div w:id="595557841">
                              <w:marLeft w:val="0"/>
                              <w:marRight w:val="0"/>
                              <w:marTop w:val="0"/>
                              <w:marBottom w:val="0"/>
                              <w:divBdr>
                                <w:top w:val="none" w:sz="0" w:space="0" w:color="auto"/>
                                <w:left w:val="none" w:sz="0" w:space="0" w:color="auto"/>
                                <w:bottom w:val="none" w:sz="0" w:space="0" w:color="auto"/>
                                <w:right w:val="none" w:sz="0" w:space="0" w:color="auto"/>
                              </w:divBdr>
                              <w:divsChild>
                                <w:div w:id="1686515005">
                                  <w:marLeft w:val="0"/>
                                  <w:marRight w:val="0"/>
                                  <w:marTop w:val="0"/>
                                  <w:marBottom w:val="0"/>
                                  <w:divBdr>
                                    <w:top w:val="none" w:sz="0" w:space="0" w:color="auto"/>
                                    <w:left w:val="none" w:sz="0" w:space="0" w:color="auto"/>
                                    <w:bottom w:val="none" w:sz="0" w:space="0" w:color="auto"/>
                                    <w:right w:val="none" w:sz="0" w:space="0" w:color="auto"/>
                                  </w:divBdr>
                                  <w:divsChild>
                                    <w:div w:id="1016886973">
                                      <w:marLeft w:val="0"/>
                                      <w:marRight w:val="62"/>
                                      <w:marTop w:val="44"/>
                                      <w:marBottom w:val="0"/>
                                      <w:divBdr>
                                        <w:top w:val="none" w:sz="0" w:space="0" w:color="auto"/>
                                        <w:left w:val="none" w:sz="0" w:space="0" w:color="auto"/>
                                        <w:bottom w:val="none" w:sz="0" w:space="0" w:color="auto"/>
                                        <w:right w:val="none" w:sz="0" w:space="0" w:color="auto"/>
                                      </w:divBdr>
                                      <w:divsChild>
                                        <w:div w:id="1991127335">
                                          <w:marLeft w:val="88"/>
                                          <w:marRight w:val="0"/>
                                          <w:marTop w:val="0"/>
                                          <w:marBottom w:val="0"/>
                                          <w:divBdr>
                                            <w:top w:val="single" w:sz="4" w:space="0" w:color="CCCCCC"/>
                                            <w:left w:val="single" w:sz="4" w:space="2" w:color="CCCCCC"/>
                                            <w:bottom w:val="single" w:sz="4" w:space="0" w:color="CCCCCC"/>
                                            <w:right w:val="single" w:sz="4" w:space="2" w:color="CCCCCC"/>
                                          </w:divBdr>
                                        </w:div>
                                      </w:divsChild>
                                    </w:div>
                                    <w:div w:id="1251353822">
                                      <w:marLeft w:val="0"/>
                                      <w:marRight w:val="62"/>
                                      <w:marTop w:val="44"/>
                                      <w:marBottom w:val="0"/>
                                      <w:divBdr>
                                        <w:top w:val="none" w:sz="0" w:space="0" w:color="auto"/>
                                        <w:left w:val="none" w:sz="0" w:space="0" w:color="auto"/>
                                        <w:bottom w:val="none" w:sz="0" w:space="0" w:color="auto"/>
                                        <w:right w:val="none" w:sz="0" w:space="0" w:color="auto"/>
                                      </w:divBdr>
                                      <w:divsChild>
                                        <w:div w:id="1635214365">
                                          <w:marLeft w:val="88"/>
                                          <w:marRight w:val="0"/>
                                          <w:marTop w:val="0"/>
                                          <w:marBottom w:val="0"/>
                                          <w:divBdr>
                                            <w:top w:val="single" w:sz="4" w:space="0" w:color="CCCCCC"/>
                                            <w:left w:val="single" w:sz="4" w:space="2" w:color="CCCCCC"/>
                                            <w:bottom w:val="single" w:sz="4" w:space="0" w:color="CCCCCC"/>
                                            <w:right w:val="single" w:sz="4" w:space="2" w:color="CCCCCC"/>
                                          </w:divBdr>
                                        </w:div>
                                      </w:divsChild>
                                    </w:div>
                                    <w:div w:id="2080441510">
                                      <w:marLeft w:val="0"/>
                                      <w:marRight w:val="62"/>
                                      <w:marTop w:val="44"/>
                                      <w:marBottom w:val="0"/>
                                      <w:divBdr>
                                        <w:top w:val="none" w:sz="0" w:space="0" w:color="auto"/>
                                        <w:left w:val="none" w:sz="0" w:space="0" w:color="auto"/>
                                        <w:bottom w:val="none" w:sz="0" w:space="0" w:color="auto"/>
                                        <w:right w:val="none" w:sz="0" w:space="0" w:color="auto"/>
                                      </w:divBdr>
                                      <w:divsChild>
                                        <w:div w:id="2027444914">
                                          <w:marLeft w:val="88"/>
                                          <w:marRight w:val="0"/>
                                          <w:marTop w:val="0"/>
                                          <w:marBottom w:val="0"/>
                                          <w:divBdr>
                                            <w:top w:val="single" w:sz="4" w:space="0" w:color="CCCCCC"/>
                                            <w:left w:val="single" w:sz="4" w:space="2" w:color="CCCCCC"/>
                                            <w:bottom w:val="single" w:sz="4" w:space="0" w:color="CCCCCC"/>
                                            <w:right w:val="single" w:sz="4" w:space="2" w:color="CCCCCC"/>
                                          </w:divBdr>
                                        </w:div>
                                      </w:divsChild>
                                    </w:div>
                                    <w:div w:id="1527525498">
                                      <w:marLeft w:val="0"/>
                                      <w:marRight w:val="62"/>
                                      <w:marTop w:val="44"/>
                                      <w:marBottom w:val="0"/>
                                      <w:divBdr>
                                        <w:top w:val="none" w:sz="0" w:space="0" w:color="auto"/>
                                        <w:left w:val="none" w:sz="0" w:space="0" w:color="auto"/>
                                        <w:bottom w:val="none" w:sz="0" w:space="0" w:color="auto"/>
                                        <w:right w:val="none" w:sz="0" w:space="0" w:color="auto"/>
                                      </w:divBdr>
                                      <w:divsChild>
                                        <w:div w:id="1349873457">
                                          <w:marLeft w:val="0"/>
                                          <w:marRight w:val="0"/>
                                          <w:marTop w:val="9"/>
                                          <w:marBottom w:val="9"/>
                                          <w:divBdr>
                                            <w:top w:val="single" w:sz="4" w:space="0" w:color="auto"/>
                                            <w:left w:val="single" w:sz="4" w:space="3" w:color="auto"/>
                                            <w:bottom w:val="single" w:sz="4" w:space="0" w:color="auto"/>
                                            <w:right w:val="single" w:sz="4" w:space="3" w:color="auto"/>
                                          </w:divBdr>
                                        </w:div>
                                      </w:divsChild>
                                    </w:div>
                                    <w:div w:id="416875539">
                                      <w:marLeft w:val="0"/>
                                      <w:marRight w:val="0"/>
                                      <w:marTop w:val="44"/>
                                      <w:marBottom w:val="0"/>
                                      <w:divBdr>
                                        <w:top w:val="none" w:sz="0" w:space="0" w:color="auto"/>
                                        <w:left w:val="none" w:sz="0" w:space="0" w:color="auto"/>
                                        <w:bottom w:val="none" w:sz="0" w:space="0" w:color="auto"/>
                                        <w:right w:val="none" w:sz="0" w:space="0" w:color="auto"/>
                                      </w:divBdr>
                                      <w:divsChild>
                                        <w:div w:id="1077049370">
                                          <w:marLeft w:val="0"/>
                                          <w:marRight w:val="0"/>
                                          <w:marTop w:val="9"/>
                                          <w:marBottom w:val="9"/>
                                          <w:divBdr>
                                            <w:top w:val="single" w:sz="4" w:space="0" w:color="auto"/>
                                            <w:left w:val="single" w:sz="4" w:space="3" w:color="auto"/>
                                            <w:bottom w:val="single" w:sz="4" w:space="0" w:color="auto"/>
                                            <w:right w:val="single" w:sz="4" w:space="3" w:color="auto"/>
                                          </w:divBdr>
                                        </w:div>
                                      </w:divsChild>
                                    </w:div>
                                  </w:divsChild>
                                </w:div>
                              </w:divsChild>
                            </w:div>
                          </w:divsChild>
                        </w:div>
                      </w:divsChild>
                    </w:div>
                  </w:divsChild>
                </w:div>
              </w:divsChild>
            </w:div>
            <w:div w:id="1250044558">
              <w:marLeft w:val="0"/>
              <w:marRight w:val="0"/>
              <w:marTop w:val="0"/>
              <w:marBottom w:val="0"/>
              <w:divBdr>
                <w:top w:val="none" w:sz="0" w:space="0" w:color="auto"/>
                <w:left w:val="none" w:sz="0" w:space="0" w:color="auto"/>
                <w:bottom w:val="none" w:sz="0" w:space="0" w:color="auto"/>
                <w:right w:val="none" w:sz="0" w:space="0" w:color="auto"/>
              </w:divBdr>
              <w:divsChild>
                <w:div w:id="1305507700">
                  <w:marLeft w:val="0"/>
                  <w:marRight w:val="0"/>
                  <w:marTop w:val="0"/>
                  <w:marBottom w:val="0"/>
                  <w:divBdr>
                    <w:top w:val="none" w:sz="0" w:space="0" w:color="auto"/>
                    <w:left w:val="none" w:sz="0" w:space="0" w:color="auto"/>
                    <w:bottom w:val="none" w:sz="0" w:space="0" w:color="auto"/>
                    <w:right w:val="none" w:sz="0" w:space="0" w:color="auto"/>
                  </w:divBdr>
                  <w:divsChild>
                    <w:div w:id="1930189876">
                      <w:marLeft w:val="0"/>
                      <w:marRight w:val="0"/>
                      <w:marTop w:val="0"/>
                      <w:marBottom w:val="0"/>
                      <w:divBdr>
                        <w:top w:val="none" w:sz="0" w:space="0" w:color="auto"/>
                        <w:left w:val="none" w:sz="0" w:space="0" w:color="auto"/>
                        <w:bottom w:val="none" w:sz="0" w:space="0" w:color="auto"/>
                        <w:right w:val="none" w:sz="0" w:space="0" w:color="auto"/>
                      </w:divBdr>
                      <w:divsChild>
                        <w:div w:id="614170566">
                          <w:marLeft w:val="0"/>
                          <w:marRight w:val="0"/>
                          <w:marTop w:val="0"/>
                          <w:marBottom w:val="0"/>
                          <w:divBdr>
                            <w:top w:val="none" w:sz="0" w:space="0" w:color="auto"/>
                            <w:left w:val="none" w:sz="0" w:space="0" w:color="auto"/>
                            <w:bottom w:val="none" w:sz="0" w:space="0" w:color="auto"/>
                            <w:right w:val="none" w:sz="0" w:space="0" w:color="auto"/>
                          </w:divBdr>
                          <w:divsChild>
                            <w:div w:id="324673788">
                              <w:marLeft w:val="0"/>
                              <w:marRight w:val="0"/>
                              <w:marTop w:val="0"/>
                              <w:marBottom w:val="0"/>
                              <w:divBdr>
                                <w:top w:val="none" w:sz="0" w:space="0" w:color="auto"/>
                                <w:left w:val="none" w:sz="0" w:space="0" w:color="auto"/>
                                <w:bottom w:val="none" w:sz="0" w:space="0" w:color="auto"/>
                                <w:right w:val="none" w:sz="0" w:space="0" w:color="auto"/>
                              </w:divBdr>
                              <w:divsChild>
                                <w:div w:id="873269182">
                                  <w:marLeft w:val="-88"/>
                                  <w:marRight w:val="-88"/>
                                  <w:marTop w:val="0"/>
                                  <w:marBottom w:val="0"/>
                                  <w:divBdr>
                                    <w:top w:val="none" w:sz="0" w:space="0" w:color="auto"/>
                                    <w:left w:val="none" w:sz="0" w:space="0" w:color="auto"/>
                                    <w:bottom w:val="none" w:sz="0" w:space="0" w:color="auto"/>
                                    <w:right w:val="none" w:sz="0" w:space="0" w:color="auto"/>
                                  </w:divBdr>
                                  <w:divsChild>
                                    <w:div w:id="237983595">
                                      <w:marLeft w:val="0"/>
                                      <w:marRight w:val="0"/>
                                      <w:marTop w:val="0"/>
                                      <w:marBottom w:val="0"/>
                                      <w:divBdr>
                                        <w:top w:val="none" w:sz="0" w:space="0" w:color="auto"/>
                                        <w:left w:val="none" w:sz="0" w:space="0" w:color="auto"/>
                                        <w:bottom w:val="none" w:sz="0" w:space="0" w:color="auto"/>
                                        <w:right w:val="none" w:sz="0" w:space="0" w:color="auto"/>
                                      </w:divBdr>
                                      <w:divsChild>
                                        <w:div w:id="1857039603">
                                          <w:marLeft w:val="0"/>
                                          <w:marRight w:val="0"/>
                                          <w:marTop w:val="0"/>
                                          <w:marBottom w:val="35"/>
                                          <w:divBdr>
                                            <w:top w:val="none" w:sz="0" w:space="0" w:color="auto"/>
                                            <w:left w:val="none" w:sz="0" w:space="0" w:color="auto"/>
                                            <w:bottom w:val="none" w:sz="0" w:space="0" w:color="auto"/>
                                            <w:right w:val="none" w:sz="0" w:space="0" w:color="auto"/>
                                          </w:divBdr>
                                        </w:div>
                                        <w:div w:id="2092696806">
                                          <w:marLeft w:val="0"/>
                                          <w:marRight w:val="0"/>
                                          <w:marTop w:val="0"/>
                                          <w:marBottom w:val="0"/>
                                          <w:divBdr>
                                            <w:top w:val="none" w:sz="0" w:space="0" w:color="auto"/>
                                            <w:left w:val="none" w:sz="0" w:space="0" w:color="auto"/>
                                            <w:bottom w:val="none" w:sz="0" w:space="0" w:color="auto"/>
                                            <w:right w:val="none" w:sz="0" w:space="0" w:color="auto"/>
                                          </w:divBdr>
                                        </w:div>
                                        <w:div w:id="1713846466">
                                          <w:marLeft w:val="0"/>
                                          <w:marRight w:val="0"/>
                                          <w:marTop w:val="0"/>
                                          <w:marBottom w:val="18"/>
                                          <w:divBdr>
                                            <w:top w:val="none" w:sz="0" w:space="0" w:color="auto"/>
                                            <w:left w:val="none" w:sz="0" w:space="0" w:color="auto"/>
                                            <w:bottom w:val="none" w:sz="0" w:space="0" w:color="auto"/>
                                            <w:right w:val="none" w:sz="0" w:space="0" w:color="auto"/>
                                          </w:divBdr>
                                        </w:div>
                                        <w:div w:id="210650902">
                                          <w:marLeft w:val="0"/>
                                          <w:marRight w:val="0"/>
                                          <w:marTop w:val="0"/>
                                          <w:marBottom w:val="35"/>
                                          <w:divBdr>
                                            <w:top w:val="none" w:sz="0" w:space="0" w:color="auto"/>
                                            <w:left w:val="none" w:sz="0" w:space="0" w:color="auto"/>
                                            <w:bottom w:val="none" w:sz="0" w:space="0" w:color="auto"/>
                                            <w:right w:val="none" w:sz="0" w:space="0" w:color="auto"/>
                                          </w:divBdr>
                                        </w:div>
                                        <w:div w:id="189295404">
                                          <w:marLeft w:val="0"/>
                                          <w:marRight w:val="0"/>
                                          <w:marTop w:val="44"/>
                                          <w:marBottom w:val="0"/>
                                          <w:divBdr>
                                            <w:top w:val="none" w:sz="0" w:space="0" w:color="auto"/>
                                            <w:left w:val="none" w:sz="0" w:space="0" w:color="auto"/>
                                            <w:bottom w:val="none" w:sz="0" w:space="0" w:color="auto"/>
                                            <w:right w:val="none" w:sz="0" w:space="0" w:color="auto"/>
                                          </w:divBdr>
                                          <w:divsChild>
                                            <w:div w:id="1107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08505">
                              <w:marLeft w:val="0"/>
                              <w:marRight w:val="0"/>
                              <w:marTop w:val="0"/>
                              <w:marBottom w:val="0"/>
                              <w:divBdr>
                                <w:top w:val="none" w:sz="0" w:space="0" w:color="auto"/>
                                <w:left w:val="none" w:sz="0" w:space="0" w:color="auto"/>
                                <w:bottom w:val="none" w:sz="0" w:space="0" w:color="auto"/>
                                <w:right w:val="none" w:sz="0" w:space="0" w:color="auto"/>
                              </w:divBdr>
                              <w:divsChild>
                                <w:div w:id="991449098">
                                  <w:marLeft w:val="-88"/>
                                  <w:marRight w:val="-88"/>
                                  <w:marTop w:val="0"/>
                                  <w:marBottom w:val="0"/>
                                  <w:divBdr>
                                    <w:top w:val="none" w:sz="0" w:space="0" w:color="auto"/>
                                    <w:left w:val="none" w:sz="0" w:space="0" w:color="auto"/>
                                    <w:bottom w:val="none" w:sz="0" w:space="0" w:color="auto"/>
                                    <w:right w:val="none" w:sz="0" w:space="0" w:color="auto"/>
                                  </w:divBdr>
                                  <w:divsChild>
                                    <w:div w:id="1646658959">
                                      <w:marLeft w:val="0"/>
                                      <w:marRight w:val="0"/>
                                      <w:marTop w:val="0"/>
                                      <w:marBottom w:val="0"/>
                                      <w:divBdr>
                                        <w:top w:val="none" w:sz="0" w:space="0" w:color="auto"/>
                                        <w:left w:val="none" w:sz="0" w:space="0" w:color="auto"/>
                                        <w:bottom w:val="none" w:sz="0" w:space="0" w:color="auto"/>
                                        <w:right w:val="none" w:sz="0" w:space="0" w:color="auto"/>
                                      </w:divBdr>
                                      <w:divsChild>
                                        <w:div w:id="79063019">
                                          <w:marLeft w:val="0"/>
                                          <w:marRight w:val="0"/>
                                          <w:marTop w:val="0"/>
                                          <w:marBottom w:val="35"/>
                                          <w:divBdr>
                                            <w:top w:val="none" w:sz="0" w:space="0" w:color="auto"/>
                                            <w:left w:val="none" w:sz="0" w:space="0" w:color="auto"/>
                                            <w:bottom w:val="none" w:sz="0" w:space="0" w:color="auto"/>
                                            <w:right w:val="none" w:sz="0" w:space="0" w:color="auto"/>
                                          </w:divBdr>
                                        </w:div>
                                        <w:div w:id="1488396396">
                                          <w:marLeft w:val="0"/>
                                          <w:marRight w:val="0"/>
                                          <w:marTop w:val="0"/>
                                          <w:marBottom w:val="0"/>
                                          <w:divBdr>
                                            <w:top w:val="none" w:sz="0" w:space="0" w:color="auto"/>
                                            <w:left w:val="none" w:sz="0" w:space="0" w:color="auto"/>
                                            <w:bottom w:val="none" w:sz="0" w:space="0" w:color="auto"/>
                                            <w:right w:val="none" w:sz="0" w:space="0" w:color="auto"/>
                                          </w:divBdr>
                                        </w:div>
                                        <w:div w:id="1447702152">
                                          <w:marLeft w:val="0"/>
                                          <w:marRight w:val="0"/>
                                          <w:marTop w:val="0"/>
                                          <w:marBottom w:val="18"/>
                                          <w:divBdr>
                                            <w:top w:val="none" w:sz="0" w:space="0" w:color="auto"/>
                                            <w:left w:val="none" w:sz="0" w:space="0" w:color="auto"/>
                                            <w:bottom w:val="none" w:sz="0" w:space="0" w:color="auto"/>
                                            <w:right w:val="none" w:sz="0" w:space="0" w:color="auto"/>
                                          </w:divBdr>
                                        </w:div>
                                        <w:div w:id="712385731">
                                          <w:marLeft w:val="0"/>
                                          <w:marRight w:val="0"/>
                                          <w:marTop w:val="0"/>
                                          <w:marBottom w:val="35"/>
                                          <w:divBdr>
                                            <w:top w:val="none" w:sz="0" w:space="0" w:color="auto"/>
                                            <w:left w:val="none" w:sz="0" w:space="0" w:color="auto"/>
                                            <w:bottom w:val="none" w:sz="0" w:space="0" w:color="auto"/>
                                            <w:right w:val="none" w:sz="0" w:space="0" w:color="auto"/>
                                          </w:divBdr>
                                        </w:div>
                                        <w:div w:id="1322539684">
                                          <w:marLeft w:val="0"/>
                                          <w:marRight w:val="0"/>
                                          <w:marTop w:val="44"/>
                                          <w:marBottom w:val="0"/>
                                          <w:divBdr>
                                            <w:top w:val="none" w:sz="0" w:space="0" w:color="auto"/>
                                            <w:left w:val="none" w:sz="0" w:space="0" w:color="auto"/>
                                            <w:bottom w:val="none" w:sz="0" w:space="0" w:color="auto"/>
                                            <w:right w:val="none" w:sz="0" w:space="0" w:color="auto"/>
                                          </w:divBdr>
                                          <w:divsChild>
                                            <w:div w:id="1731725716">
                                              <w:marLeft w:val="0"/>
                                              <w:marRight w:val="0"/>
                                              <w:marTop w:val="0"/>
                                              <w:marBottom w:val="0"/>
                                              <w:divBdr>
                                                <w:top w:val="none" w:sz="0" w:space="0" w:color="auto"/>
                                                <w:left w:val="none" w:sz="0" w:space="0" w:color="auto"/>
                                                <w:bottom w:val="none" w:sz="0" w:space="0" w:color="auto"/>
                                                <w:right w:val="none" w:sz="0" w:space="0" w:color="auto"/>
                                              </w:divBdr>
                                            </w:div>
                                            <w:div w:id="391735118">
                                              <w:marLeft w:val="0"/>
                                              <w:marRight w:val="0"/>
                                              <w:marTop w:val="0"/>
                                              <w:marBottom w:val="0"/>
                                              <w:divBdr>
                                                <w:top w:val="none" w:sz="0" w:space="0" w:color="auto"/>
                                                <w:left w:val="none" w:sz="0" w:space="0" w:color="auto"/>
                                                <w:bottom w:val="none" w:sz="0" w:space="0" w:color="auto"/>
                                                <w:right w:val="none" w:sz="0" w:space="0" w:color="auto"/>
                                              </w:divBdr>
                                              <w:divsChild>
                                                <w:div w:id="1868330323">
                                                  <w:marLeft w:val="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123899">
          <w:marLeft w:val="0"/>
          <w:marRight w:val="0"/>
          <w:marTop w:val="0"/>
          <w:marBottom w:val="0"/>
          <w:divBdr>
            <w:top w:val="single" w:sz="2" w:space="0" w:color="E6E6E6"/>
            <w:left w:val="single" w:sz="4" w:space="10" w:color="E6E6E6"/>
            <w:bottom w:val="single" w:sz="2" w:space="0" w:color="E6E6E6"/>
            <w:right w:val="single" w:sz="2" w:space="10" w:color="E6E6E6"/>
          </w:divBdr>
          <w:divsChild>
            <w:div w:id="1029600187">
              <w:marLeft w:val="0"/>
              <w:marRight w:val="0"/>
              <w:marTop w:val="0"/>
              <w:marBottom w:val="0"/>
              <w:divBdr>
                <w:top w:val="none" w:sz="0" w:space="0" w:color="auto"/>
                <w:left w:val="none" w:sz="0" w:space="0" w:color="auto"/>
                <w:bottom w:val="none" w:sz="0" w:space="0" w:color="auto"/>
                <w:right w:val="none" w:sz="0" w:space="0" w:color="auto"/>
              </w:divBdr>
              <w:divsChild>
                <w:div w:id="168644575">
                  <w:marLeft w:val="0"/>
                  <w:marRight w:val="0"/>
                  <w:marTop w:val="0"/>
                  <w:marBottom w:val="0"/>
                  <w:divBdr>
                    <w:top w:val="none" w:sz="0" w:space="0" w:color="auto"/>
                    <w:left w:val="none" w:sz="0" w:space="0" w:color="auto"/>
                    <w:bottom w:val="none" w:sz="0" w:space="0" w:color="auto"/>
                    <w:right w:val="none" w:sz="0" w:space="0" w:color="auto"/>
                  </w:divBdr>
                  <w:divsChild>
                    <w:div w:id="105199713">
                      <w:marLeft w:val="-88"/>
                      <w:marRight w:val="-194"/>
                      <w:marTop w:val="0"/>
                      <w:marBottom w:val="0"/>
                      <w:divBdr>
                        <w:top w:val="none" w:sz="0" w:space="0" w:color="auto"/>
                        <w:left w:val="none" w:sz="0" w:space="0" w:color="auto"/>
                        <w:bottom w:val="none" w:sz="0" w:space="0" w:color="auto"/>
                        <w:right w:val="none" w:sz="0" w:space="0" w:color="auto"/>
                      </w:divBdr>
                      <w:divsChild>
                        <w:div w:id="2072346429">
                          <w:marLeft w:val="0"/>
                          <w:marRight w:val="0"/>
                          <w:marTop w:val="0"/>
                          <w:marBottom w:val="0"/>
                          <w:divBdr>
                            <w:top w:val="none" w:sz="0" w:space="0" w:color="auto"/>
                            <w:left w:val="none" w:sz="0" w:space="0" w:color="auto"/>
                            <w:bottom w:val="none" w:sz="0" w:space="0" w:color="auto"/>
                            <w:right w:val="none" w:sz="0" w:space="0" w:color="auto"/>
                          </w:divBdr>
                          <w:divsChild>
                            <w:div w:id="1892693069">
                              <w:marLeft w:val="0"/>
                              <w:marRight w:val="0"/>
                              <w:marTop w:val="0"/>
                              <w:marBottom w:val="0"/>
                              <w:divBdr>
                                <w:top w:val="none" w:sz="0" w:space="0" w:color="auto"/>
                                <w:left w:val="none" w:sz="0" w:space="0" w:color="auto"/>
                                <w:bottom w:val="none" w:sz="0" w:space="0" w:color="auto"/>
                                <w:right w:val="none" w:sz="0" w:space="0" w:color="auto"/>
                              </w:divBdr>
                              <w:divsChild>
                                <w:div w:id="816337800">
                                  <w:marLeft w:val="0"/>
                                  <w:marRight w:val="0"/>
                                  <w:marTop w:val="0"/>
                                  <w:marBottom w:val="0"/>
                                  <w:divBdr>
                                    <w:top w:val="none" w:sz="0" w:space="0" w:color="auto"/>
                                    <w:left w:val="none" w:sz="0" w:space="0" w:color="auto"/>
                                    <w:bottom w:val="none" w:sz="0" w:space="0" w:color="auto"/>
                                    <w:right w:val="none" w:sz="0" w:space="0" w:color="auto"/>
                                  </w:divBdr>
                                </w:div>
                                <w:div w:id="643465010">
                                  <w:marLeft w:val="0"/>
                                  <w:marRight w:val="0"/>
                                  <w:marTop w:val="0"/>
                                  <w:marBottom w:val="0"/>
                                  <w:divBdr>
                                    <w:top w:val="none" w:sz="0" w:space="0" w:color="auto"/>
                                    <w:left w:val="none" w:sz="0" w:space="0" w:color="auto"/>
                                    <w:bottom w:val="none" w:sz="0" w:space="0" w:color="auto"/>
                                    <w:right w:val="none" w:sz="0" w:space="0" w:color="auto"/>
                                  </w:divBdr>
                                </w:div>
                                <w:div w:id="1576672614">
                                  <w:marLeft w:val="0"/>
                                  <w:marRight w:val="0"/>
                                  <w:marTop w:val="0"/>
                                  <w:marBottom w:val="0"/>
                                  <w:divBdr>
                                    <w:top w:val="none" w:sz="0" w:space="0" w:color="auto"/>
                                    <w:left w:val="none" w:sz="0" w:space="0" w:color="auto"/>
                                    <w:bottom w:val="none" w:sz="0" w:space="0" w:color="auto"/>
                                    <w:right w:val="none" w:sz="0" w:space="0" w:color="auto"/>
                                  </w:divBdr>
                                </w:div>
                                <w:div w:id="381485182">
                                  <w:marLeft w:val="0"/>
                                  <w:marRight w:val="0"/>
                                  <w:marTop w:val="0"/>
                                  <w:marBottom w:val="0"/>
                                  <w:divBdr>
                                    <w:top w:val="none" w:sz="0" w:space="0" w:color="auto"/>
                                    <w:left w:val="none" w:sz="0" w:space="0" w:color="auto"/>
                                    <w:bottom w:val="none" w:sz="0" w:space="0" w:color="auto"/>
                                    <w:right w:val="none" w:sz="0" w:space="0" w:color="auto"/>
                                  </w:divBdr>
                                  <w:divsChild>
                                    <w:div w:id="18097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6455">
              <w:marLeft w:val="0"/>
              <w:marRight w:val="0"/>
              <w:marTop w:val="0"/>
              <w:marBottom w:val="0"/>
              <w:divBdr>
                <w:top w:val="none" w:sz="0" w:space="0" w:color="auto"/>
                <w:left w:val="none" w:sz="0" w:space="0" w:color="auto"/>
                <w:bottom w:val="none" w:sz="0" w:space="0" w:color="auto"/>
                <w:right w:val="none" w:sz="0" w:space="0" w:color="auto"/>
              </w:divBdr>
              <w:divsChild>
                <w:div w:id="1139035574">
                  <w:marLeft w:val="0"/>
                  <w:marRight w:val="0"/>
                  <w:marTop w:val="0"/>
                  <w:marBottom w:val="0"/>
                  <w:divBdr>
                    <w:top w:val="none" w:sz="0" w:space="0" w:color="auto"/>
                    <w:left w:val="none" w:sz="0" w:space="0" w:color="auto"/>
                    <w:bottom w:val="none" w:sz="0" w:space="0" w:color="auto"/>
                    <w:right w:val="none" w:sz="0" w:space="0" w:color="auto"/>
                  </w:divBdr>
                  <w:divsChild>
                    <w:div w:id="2078046432">
                      <w:marLeft w:val="-194"/>
                      <w:marRight w:val="-194"/>
                      <w:marTop w:val="0"/>
                      <w:marBottom w:val="0"/>
                      <w:divBdr>
                        <w:top w:val="none" w:sz="0" w:space="0" w:color="auto"/>
                        <w:left w:val="none" w:sz="0" w:space="0" w:color="auto"/>
                        <w:bottom w:val="none" w:sz="0" w:space="0" w:color="auto"/>
                        <w:right w:val="none" w:sz="0" w:space="0" w:color="auto"/>
                      </w:divBdr>
                      <w:divsChild>
                        <w:div w:id="1124428407">
                          <w:marLeft w:val="0"/>
                          <w:marRight w:val="0"/>
                          <w:marTop w:val="0"/>
                          <w:marBottom w:val="0"/>
                          <w:divBdr>
                            <w:top w:val="none" w:sz="0" w:space="0" w:color="auto"/>
                            <w:left w:val="none" w:sz="0" w:space="0" w:color="auto"/>
                            <w:bottom w:val="none" w:sz="0" w:space="0" w:color="auto"/>
                            <w:right w:val="none" w:sz="0" w:space="0" w:color="auto"/>
                          </w:divBdr>
                          <w:divsChild>
                            <w:div w:id="1263996006">
                              <w:marLeft w:val="194"/>
                              <w:marRight w:val="194"/>
                              <w:marTop w:val="0"/>
                              <w:marBottom w:val="0"/>
                              <w:divBdr>
                                <w:top w:val="none" w:sz="0" w:space="0" w:color="auto"/>
                                <w:left w:val="none" w:sz="0" w:space="0" w:color="auto"/>
                                <w:bottom w:val="none" w:sz="0" w:space="0" w:color="auto"/>
                                <w:right w:val="none" w:sz="0" w:space="0" w:color="auto"/>
                              </w:divBdr>
                              <w:divsChild>
                                <w:div w:id="380711137">
                                  <w:marLeft w:val="-194"/>
                                  <w:marRight w:val="-194"/>
                                  <w:marTop w:val="0"/>
                                  <w:marBottom w:val="0"/>
                                  <w:divBdr>
                                    <w:top w:val="none" w:sz="0" w:space="0" w:color="auto"/>
                                    <w:left w:val="none" w:sz="0" w:space="0" w:color="auto"/>
                                    <w:bottom w:val="none" w:sz="0" w:space="0" w:color="auto"/>
                                    <w:right w:val="none" w:sz="0" w:space="0" w:color="auto"/>
                                  </w:divBdr>
                                  <w:divsChild>
                                    <w:div w:id="2063165141">
                                      <w:marLeft w:val="0"/>
                                      <w:marRight w:val="0"/>
                                      <w:marTop w:val="0"/>
                                      <w:marBottom w:val="0"/>
                                      <w:divBdr>
                                        <w:top w:val="none" w:sz="0" w:space="0" w:color="auto"/>
                                        <w:left w:val="none" w:sz="0" w:space="0" w:color="auto"/>
                                        <w:bottom w:val="none" w:sz="0" w:space="0" w:color="auto"/>
                                        <w:right w:val="none" w:sz="0" w:space="0" w:color="auto"/>
                                      </w:divBdr>
                                      <w:divsChild>
                                        <w:div w:id="106972283">
                                          <w:marLeft w:val="0"/>
                                          <w:marRight w:val="0"/>
                                          <w:marTop w:val="0"/>
                                          <w:marBottom w:val="35"/>
                                          <w:divBdr>
                                            <w:top w:val="none" w:sz="0" w:space="0" w:color="auto"/>
                                            <w:left w:val="none" w:sz="0" w:space="0" w:color="auto"/>
                                            <w:bottom w:val="none" w:sz="0" w:space="0" w:color="auto"/>
                                            <w:right w:val="none" w:sz="0" w:space="0" w:color="auto"/>
                                          </w:divBdr>
                                        </w:div>
                                        <w:div w:id="1286739675">
                                          <w:marLeft w:val="0"/>
                                          <w:marRight w:val="0"/>
                                          <w:marTop w:val="0"/>
                                          <w:marBottom w:val="0"/>
                                          <w:divBdr>
                                            <w:top w:val="none" w:sz="0" w:space="0" w:color="auto"/>
                                            <w:left w:val="none" w:sz="0" w:space="0" w:color="auto"/>
                                            <w:bottom w:val="none" w:sz="0" w:space="0" w:color="auto"/>
                                            <w:right w:val="none" w:sz="0" w:space="0" w:color="auto"/>
                                          </w:divBdr>
                                        </w:div>
                                        <w:div w:id="1386366764">
                                          <w:marLeft w:val="0"/>
                                          <w:marRight w:val="0"/>
                                          <w:marTop w:val="0"/>
                                          <w:marBottom w:val="18"/>
                                          <w:divBdr>
                                            <w:top w:val="none" w:sz="0" w:space="0" w:color="auto"/>
                                            <w:left w:val="none" w:sz="0" w:space="0" w:color="auto"/>
                                            <w:bottom w:val="none" w:sz="0" w:space="0" w:color="auto"/>
                                            <w:right w:val="none" w:sz="0" w:space="0" w:color="auto"/>
                                          </w:divBdr>
                                        </w:div>
                                      </w:divsChild>
                                    </w:div>
                                  </w:divsChild>
                                </w:div>
                              </w:divsChild>
                            </w:div>
                          </w:divsChild>
                        </w:div>
                        <w:div w:id="1148859479">
                          <w:marLeft w:val="0"/>
                          <w:marRight w:val="0"/>
                          <w:marTop w:val="0"/>
                          <w:marBottom w:val="0"/>
                          <w:divBdr>
                            <w:top w:val="none" w:sz="0" w:space="0" w:color="auto"/>
                            <w:left w:val="none" w:sz="0" w:space="0" w:color="auto"/>
                            <w:bottom w:val="none" w:sz="0" w:space="0" w:color="auto"/>
                            <w:right w:val="none" w:sz="0" w:space="0" w:color="auto"/>
                          </w:divBdr>
                          <w:divsChild>
                            <w:div w:id="1279869258">
                              <w:marLeft w:val="194"/>
                              <w:marRight w:val="194"/>
                              <w:marTop w:val="0"/>
                              <w:marBottom w:val="0"/>
                              <w:divBdr>
                                <w:top w:val="single" w:sz="4" w:space="7" w:color="E6E6E6"/>
                                <w:left w:val="single" w:sz="2" w:space="0" w:color="E6E6E6"/>
                                <w:bottom w:val="single" w:sz="2" w:space="0" w:color="E6E6E6"/>
                                <w:right w:val="single" w:sz="2" w:space="0" w:color="E6E6E6"/>
                              </w:divBdr>
                              <w:divsChild>
                                <w:div w:id="2065181391">
                                  <w:marLeft w:val="-194"/>
                                  <w:marRight w:val="-194"/>
                                  <w:marTop w:val="0"/>
                                  <w:marBottom w:val="0"/>
                                  <w:divBdr>
                                    <w:top w:val="none" w:sz="0" w:space="0" w:color="auto"/>
                                    <w:left w:val="none" w:sz="0" w:space="0" w:color="auto"/>
                                    <w:bottom w:val="none" w:sz="0" w:space="0" w:color="auto"/>
                                    <w:right w:val="none" w:sz="0" w:space="0" w:color="auto"/>
                                  </w:divBdr>
                                  <w:divsChild>
                                    <w:div w:id="553782730">
                                      <w:marLeft w:val="0"/>
                                      <w:marRight w:val="0"/>
                                      <w:marTop w:val="0"/>
                                      <w:marBottom w:val="0"/>
                                      <w:divBdr>
                                        <w:top w:val="none" w:sz="0" w:space="0" w:color="auto"/>
                                        <w:left w:val="none" w:sz="0" w:space="0" w:color="auto"/>
                                        <w:bottom w:val="none" w:sz="0" w:space="0" w:color="auto"/>
                                        <w:right w:val="none" w:sz="0" w:space="0" w:color="auto"/>
                                      </w:divBdr>
                                      <w:divsChild>
                                        <w:div w:id="235745021">
                                          <w:marLeft w:val="0"/>
                                          <w:marRight w:val="0"/>
                                          <w:marTop w:val="0"/>
                                          <w:marBottom w:val="35"/>
                                          <w:divBdr>
                                            <w:top w:val="none" w:sz="0" w:space="0" w:color="auto"/>
                                            <w:left w:val="none" w:sz="0" w:space="0" w:color="auto"/>
                                            <w:bottom w:val="none" w:sz="0" w:space="0" w:color="auto"/>
                                            <w:right w:val="none" w:sz="0" w:space="0" w:color="auto"/>
                                          </w:divBdr>
                                        </w:div>
                                        <w:div w:id="994067335">
                                          <w:marLeft w:val="0"/>
                                          <w:marRight w:val="0"/>
                                          <w:marTop w:val="0"/>
                                          <w:marBottom w:val="0"/>
                                          <w:divBdr>
                                            <w:top w:val="none" w:sz="0" w:space="0" w:color="auto"/>
                                            <w:left w:val="none" w:sz="0" w:space="0" w:color="auto"/>
                                            <w:bottom w:val="none" w:sz="0" w:space="0" w:color="auto"/>
                                            <w:right w:val="none" w:sz="0" w:space="0" w:color="auto"/>
                                          </w:divBdr>
                                        </w:div>
                                        <w:div w:id="820462011">
                                          <w:marLeft w:val="0"/>
                                          <w:marRight w:val="0"/>
                                          <w:marTop w:val="0"/>
                                          <w:marBottom w:val="18"/>
                                          <w:divBdr>
                                            <w:top w:val="none" w:sz="0" w:space="0" w:color="auto"/>
                                            <w:left w:val="none" w:sz="0" w:space="0" w:color="auto"/>
                                            <w:bottom w:val="none" w:sz="0" w:space="0" w:color="auto"/>
                                            <w:right w:val="none" w:sz="0" w:space="0" w:color="auto"/>
                                          </w:divBdr>
                                        </w:div>
                                        <w:div w:id="1424766500">
                                          <w:marLeft w:val="0"/>
                                          <w:marRight w:val="0"/>
                                          <w:marTop w:val="0"/>
                                          <w:marBottom w:val="0"/>
                                          <w:divBdr>
                                            <w:top w:val="none" w:sz="0" w:space="0" w:color="auto"/>
                                            <w:left w:val="none" w:sz="0" w:space="0" w:color="auto"/>
                                            <w:bottom w:val="none" w:sz="0" w:space="0" w:color="auto"/>
                                            <w:right w:val="none" w:sz="0" w:space="0" w:color="auto"/>
                                          </w:divBdr>
                                          <w:divsChild>
                                            <w:div w:id="1399476722">
                                              <w:marLeft w:val="0"/>
                                              <w:marRight w:val="0"/>
                                              <w:marTop w:val="0"/>
                                              <w:marBottom w:val="0"/>
                                              <w:divBdr>
                                                <w:top w:val="none" w:sz="0" w:space="0" w:color="auto"/>
                                                <w:left w:val="none" w:sz="0" w:space="0" w:color="auto"/>
                                                <w:bottom w:val="none" w:sz="0" w:space="0" w:color="auto"/>
                                                <w:right w:val="none" w:sz="0" w:space="0" w:color="auto"/>
                                              </w:divBdr>
                                              <w:divsChild>
                                                <w:div w:id="1138574750">
                                                  <w:marLeft w:val="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07499">
                          <w:marLeft w:val="0"/>
                          <w:marRight w:val="0"/>
                          <w:marTop w:val="0"/>
                          <w:marBottom w:val="0"/>
                          <w:divBdr>
                            <w:top w:val="none" w:sz="0" w:space="0" w:color="auto"/>
                            <w:left w:val="none" w:sz="0" w:space="0" w:color="auto"/>
                            <w:bottom w:val="none" w:sz="0" w:space="0" w:color="auto"/>
                            <w:right w:val="none" w:sz="0" w:space="0" w:color="auto"/>
                          </w:divBdr>
                          <w:divsChild>
                            <w:div w:id="683244237">
                              <w:marLeft w:val="194"/>
                              <w:marRight w:val="194"/>
                              <w:marTop w:val="0"/>
                              <w:marBottom w:val="0"/>
                              <w:divBdr>
                                <w:top w:val="single" w:sz="4" w:space="7" w:color="E6E6E6"/>
                                <w:left w:val="single" w:sz="2" w:space="0" w:color="E6E6E6"/>
                                <w:bottom w:val="single" w:sz="2" w:space="0" w:color="E6E6E6"/>
                                <w:right w:val="single" w:sz="2" w:space="0" w:color="E6E6E6"/>
                              </w:divBdr>
                              <w:divsChild>
                                <w:div w:id="29113473">
                                  <w:marLeft w:val="-194"/>
                                  <w:marRight w:val="-194"/>
                                  <w:marTop w:val="0"/>
                                  <w:marBottom w:val="0"/>
                                  <w:divBdr>
                                    <w:top w:val="none" w:sz="0" w:space="0" w:color="auto"/>
                                    <w:left w:val="none" w:sz="0" w:space="0" w:color="auto"/>
                                    <w:bottom w:val="none" w:sz="0" w:space="0" w:color="auto"/>
                                    <w:right w:val="none" w:sz="0" w:space="0" w:color="auto"/>
                                  </w:divBdr>
                                  <w:divsChild>
                                    <w:div w:id="614944567">
                                      <w:marLeft w:val="0"/>
                                      <w:marRight w:val="0"/>
                                      <w:marTop w:val="0"/>
                                      <w:marBottom w:val="0"/>
                                      <w:divBdr>
                                        <w:top w:val="none" w:sz="0" w:space="0" w:color="auto"/>
                                        <w:left w:val="none" w:sz="0" w:space="0" w:color="auto"/>
                                        <w:bottom w:val="none" w:sz="0" w:space="0" w:color="auto"/>
                                        <w:right w:val="none" w:sz="0" w:space="0" w:color="auto"/>
                                      </w:divBdr>
                                      <w:divsChild>
                                        <w:div w:id="2002392889">
                                          <w:marLeft w:val="0"/>
                                          <w:marRight w:val="0"/>
                                          <w:marTop w:val="0"/>
                                          <w:marBottom w:val="35"/>
                                          <w:divBdr>
                                            <w:top w:val="none" w:sz="0" w:space="0" w:color="auto"/>
                                            <w:left w:val="none" w:sz="0" w:space="0" w:color="auto"/>
                                            <w:bottom w:val="none" w:sz="0" w:space="0" w:color="auto"/>
                                            <w:right w:val="none" w:sz="0" w:space="0" w:color="auto"/>
                                          </w:divBdr>
                                        </w:div>
                                        <w:div w:id="1639725937">
                                          <w:marLeft w:val="0"/>
                                          <w:marRight w:val="0"/>
                                          <w:marTop w:val="0"/>
                                          <w:marBottom w:val="0"/>
                                          <w:divBdr>
                                            <w:top w:val="none" w:sz="0" w:space="0" w:color="auto"/>
                                            <w:left w:val="none" w:sz="0" w:space="0" w:color="auto"/>
                                            <w:bottom w:val="none" w:sz="0" w:space="0" w:color="auto"/>
                                            <w:right w:val="none" w:sz="0" w:space="0" w:color="auto"/>
                                          </w:divBdr>
                                        </w:div>
                                        <w:div w:id="2024554321">
                                          <w:marLeft w:val="0"/>
                                          <w:marRight w:val="0"/>
                                          <w:marTop w:val="0"/>
                                          <w:marBottom w:val="1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038235">
              <w:marLeft w:val="0"/>
              <w:marRight w:val="0"/>
              <w:marTop w:val="0"/>
              <w:marBottom w:val="0"/>
              <w:divBdr>
                <w:top w:val="none" w:sz="0" w:space="0" w:color="auto"/>
                <w:left w:val="none" w:sz="0" w:space="0" w:color="auto"/>
                <w:bottom w:val="none" w:sz="0" w:space="0" w:color="auto"/>
                <w:right w:val="none" w:sz="0" w:space="0" w:color="auto"/>
              </w:divBdr>
              <w:divsChild>
                <w:div w:id="1089960589">
                  <w:marLeft w:val="0"/>
                  <w:marRight w:val="0"/>
                  <w:marTop w:val="0"/>
                  <w:marBottom w:val="0"/>
                  <w:divBdr>
                    <w:top w:val="none" w:sz="0" w:space="0" w:color="auto"/>
                    <w:left w:val="none" w:sz="0" w:space="0" w:color="auto"/>
                    <w:bottom w:val="none" w:sz="0" w:space="0" w:color="auto"/>
                    <w:right w:val="none" w:sz="0" w:space="0" w:color="auto"/>
                  </w:divBdr>
                  <w:divsChild>
                    <w:div w:id="2073262984">
                      <w:marLeft w:val="-88"/>
                      <w:marRight w:val="-194"/>
                      <w:marTop w:val="0"/>
                      <w:marBottom w:val="177"/>
                      <w:divBdr>
                        <w:top w:val="none" w:sz="0" w:space="0" w:color="auto"/>
                        <w:left w:val="none" w:sz="0" w:space="0" w:color="auto"/>
                        <w:bottom w:val="none" w:sz="0" w:space="0" w:color="auto"/>
                        <w:right w:val="none" w:sz="0" w:space="0" w:color="auto"/>
                      </w:divBdr>
                      <w:divsChild>
                        <w:div w:id="1839496210">
                          <w:marLeft w:val="0"/>
                          <w:marRight w:val="0"/>
                          <w:marTop w:val="0"/>
                          <w:marBottom w:val="0"/>
                          <w:divBdr>
                            <w:top w:val="none" w:sz="0" w:space="0" w:color="auto"/>
                            <w:left w:val="none" w:sz="0" w:space="0" w:color="auto"/>
                            <w:bottom w:val="none" w:sz="0" w:space="0" w:color="auto"/>
                            <w:right w:val="none" w:sz="0" w:space="0" w:color="auto"/>
                          </w:divBdr>
                          <w:divsChild>
                            <w:div w:id="1100877157">
                              <w:marLeft w:val="0"/>
                              <w:marRight w:val="0"/>
                              <w:marTop w:val="0"/>
                              <w:marBottom w:val="0"/>
                              <w:divBdr>
                                <w:top w:val="none" w:sz="0" w:space="0" w:color="auto"/>
                                <w:left w:val="none" w:sz="0" w:space="0" w:color="auto"/>
                                <w:bottom w:val="none" w:sz="0" w:space="0" w:color="auto"/>
                                <w:right w:val="none" w:sz="0" w:space="0" w:color="auto"/>
                              </w:divBdr>
                            </w:div>
                            <w:div w:id="1848058279">
                              <w:marLeft w:val="0"/>
                              <w:marRight w:val="0"/>
                              <w:marTop w:val="0"/>
                              <w:marBottom w:val="0"/>
                              <w:divBdr>
                                <w:top w:val="none" w:sz="0" w:space="0" w:color="auto"/>
                                <w:left w:val="none" w:sz="0" w:space="0" w:color="auto"/>
                                <w:bottom w:val="none" w:sz="0" w:space="0" w:color="auto"/>
                                <w:right w:val="none" w:sz="0" w:space="0" w:color="auto"/>
                              </w:divBdr>
                            </w:div>
                            <w:div w:id="298195457">
                              <w:marLeft w:val="0"/>
                              <w:marRight w:val="0"/>
                              <w:marTop w:val="0"/>
                              <w:marBottom w:val="0"/>
                              <w:divBdr>
                                <w:top w:val="none" w:sz="0" w:space="0" w:color="auto"/>
                                <w:left w:val="none" w:sz="0" w:space="0" w:color="auto"/>
                                <w:bottom w:val="none" w:sz="0" w:space="0" w:color="auto"/>
                                <w:right w:val="none" w:sz="0" w:space="0" w:color="auto"/>
                              </w:divBdr>
                            </w:div>
                            <w:div w:id="605579249">
                              <w:marLeft w:val="0"/>
                              <w:marRight w:val="0"/>
                              <w:marTop w:val="0"/>
                              <w:marBottom w:val="0"/>
                              <w:divBdr>
                                <w:top w:val="none" w:sz="0" w:space="0" w:color="auto"/>
                                <w:left w:val="none" w:sz="0" w:space="0" w:color="auto"/>
                                <w:bottom w:val="none" w:sz="0" w:space="0" w:color="auto"/>
                                <w:right w:val="none" w:sz="0" w:space="0" w:color="auto"/>
                              </w:divBdr>
                            </w:div>
                            <w:div w:id="6095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5214">
      <w:bodyDiv w:val="1"/>
      <w:marLeft w:val="0"/>
      <w:marRight w:val="0"/>
      <w:marTop w:val="0"/>
      <w:marBottom w:val="0"/>
      <w:divBdr>
        <w:top w:val="none" w:sz="0" w:space="0" w:color="auto"/>
        <w:left w:val="none" w:sz="0" w:space="0" w:color="auto"/>
        <w:bottom w:val="none" w:sz="0" w:space="0" w:color="auto"/>
        <w:right w:val="none" w:sz="0" w:space="0" w:color="auto"/>
      </w:divBdr>
    </w:div>
    <w:div w:id="20816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to.org/english/res_e/booksp_e/cmark_chap7_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eabr.org/r/research/centre/projectsCII/projects_cii/index.php?id_4=47862&amp;linked_block_id=0"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lpi.worldbank.org/international/global" TargetMode="External"/><Relationship Id="rId30"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wto.org/english/res_e/booksp_e/cmark_chap7_e.pdf" TargetMode="External"/><Relationship Id="rId1" Type="http://schemas.openxmlformats.org/officeDocument/2006/relationships/hyperlink" Target="http://www.eabr.org/r/research/centre/projectsCII/projects_cii/index.php?id_4=47862&amp;linked_block_id=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057;&#1090;&#1072;&#1090;&#1100;&#1103;%20&#1074;%20&#1046;&#1077;&#1085;&#1077;&#1074;&#1091;%202015\&#1057;&#1090;&#1072;&#1090;&#1080;&#1089;&#1090;&#1080;&#1082;&#1072;%20&#1087;&#1086;%20&#1045;&#1040;&#1069;&#105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7;&#1090;&#1072;&#1090;&#1100;&#1103;%20&#1074;%20&#1046;&#1077;&#1085;&#1077;&#1074;&#1091;%202015\&#1057;&#1090;&#1072;&#1090;&#1080;&#1089;&#1090;&#1080;&#1082;&#1072;%20&#1087;&#1086;%20&#1045;&#1040;&#1069;&#105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7;&#1090;&#1072;&#1090;&#1100;&#1103;%20&#1074;%20&#1046;&#1077;&#1085;&#1077;&#1074;&#1091;%202015\&#1057;&#1090;&#1072;&#1090;&#1080;&#1089;&#1090;&#1080;&#1082;&#1072;%20&#1087;&#1086;%20&#1045;&#1040;&#1069;&#105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57;&#1090;&#1072;&#1090;&#1100;&#1103;%20&#1074;%20&#1046;&#1077;&#1085;&#1077;&#1074;&#1091;%202015\&#1057;&#1090;&#1072;&#1090;&#1080;&#1089;&#1090;&#1080;&#1082;&#1072;%20&#1087;&#1086;%20&#1045;&#1040;&#1069;&#105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90;&#1072;&#1090;&#1100;&#1103;%20&#1074;%20&#1050;&#1086;&#1088;&#1077;&#1102;\&#1048;&#1085;&#1074;&#1077;&#1089;&#1090;&#1080;&#1094;&#1080;&#1080;%20&#1074;%20&#1041;&#1077;&#1083;&#1072;&#1088;&#1091;&#1089;&#110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4;&#1083;&#1100;&#1075;&#1072;\Downloads\publish516870_2542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percentStacked"/>
        <c:ser>
          <c:idx val="0"/>
          <c:order val="0"/>
          <c:tx>
            <c:strRef>
              <c:f>Лист1!$A$28</c:f>
              <c:strCache>
                <c:ptCount val="1"/>
                <c:pt idx="0">
                  <c:v>Armenia</c:v>
                </c:pt>
              </c:strCache>
            </c:strRef>
          </c:tx>
          <c:cat>
            <c:strRef>
              <c:f>Лист1!$B$27:$G$27</c:f>
              <c:strCache>
                <c:ptCount val="6"/>
                <c:pt idx="0">
                  <c:v>2010</c:v>
                </c:pt>
                <c:pt idx="1">
                  <c:v>2011</c:v>
                </c:pt>
                <c:pt idx="2">
                  <c:v>2012</c:v>
                </c:pt>
                <c:pt idx="3">
                  <c:v>2013</c:v>
                </c:pt>
                <c:pt idx="4">
                  <c:v>2014</c:v>
                </c:pt>
                <c:pt idx="5">
                  <c:v>2015, 1st quarter</c:v>
                </c:pt>
              </c:strCache>
            </c:strRef>
          </c:cat>
          <c:val>
            <c:numRef>
              <c:f>Лист1!$B$28:$G$28</c:f>
              <c:numCache>
                <c:formatCode>_-* #,##0.0_р_._-;\-* #,##0.0_р_._-;_-* "-"?_р_._-;_-@_-</c:formatCode>
                <c:ptCount val="6"/>
                <c:pt idx="0">
                  <c:v>0</c:v>
                </c:pt>
                <c:pt idx="1">
                  <c:v>0</c:v>
                </c:pt>
                <c:pt idx="2">
                  <c:v>0</c:v>
                </c:pt>
                <c:pt idx="3">
                  <c:v>0</c:v>
                </c:pt>
                <c:pt idx="4">
                  <c:v>0</c:v>
                </c:pt>
                <c:pt idx="5">
                  <c:v>1.4</c:v>
                </c:pt>
              </c:numCache>
            </c:numRef>
          </c:val>
        </c:ser>
        <c:ser>
          <c:idx val="1"/>
          <c:order val="1"/>
          <c:tx>
            <c:strRef>
              <c:f>Лист1!$A$29</c:f>
              <c:strCache>
                <c:ptCount val="1"/>
                <c:pt idx="0">
                  <c:v>Belarus</c:v>
                </c:pt>
              </c:strCache>
            </c:strRef>
          </c:tx>
          <c:dLbls>
            <c:showVal val="1"/>
          </c:dLbls>
          <c:cat>
            <c:strRef>
              <c:f>Лист1!$B$27:$G$27</c:f>
              <c:strCache>
                <c:ptCount val="6"/>
                <c:pt idx="0">
                  <c:v>2010</c:v>
                </c:pt>
                <c:pt idx="1">
                  <c:v>2011</c:v>
                </c:pt>
                <c:pt idx="2">
                  <c:v>2012</c:v>
                </c:pt>
                <c:pt idx="3">
                  <c:v>2013</c:v>
                </c:pt>
                <c:pt idx="4">
                  <c:v>2014</c:v>
                </c:pt>
                <c:pt idx="5">
                  <c:v>2015, 1st quarter</c:v>
                </c:pt>
              </c:strCache>
            </c:strRef>
          </c:cat>
          <c:val>
            <c:numRef>
              <c:f>Лист1!$B$29:$G$29</c:f>
              <c:numCache>
                <c:formatCode>_-* #,##0.0_р_._-;\-* #,##0.0_р_._-;_-* "-"?_р_._-;_-@_-</c:formatCode>
                <c:ptCount val="6"/>
                <c:pt idx="0">
                  <c:v>10418.4</c:v>
                </c:pt>
                <c:pt idx="1">
                  <c:v>15182.9</c:v>
                </c:pt>
                <c:pt idx="2">
                  <c:v>17116.3</c:v>
                </c:pt>
                <c:pt idx="3">
                  <c:v>17708.400000000001</c:v>
                </c:pt>
                <c:pt idx="4">
                  <c:v>16233.9</c:v>
                </c:pt>
                <c:pt idx="5">
                  <c:v>2300.9</c:v>
                </c:pt>
              </c:numCache>
            </c:numRef>
          </c:val>
        </c:ser>
        <c:ser>
          <c:idx val="2"/>
          <c:order val="2"/>
          <c:tx>
            <c:strRef>
              <c:f>Лист1!$A$30</c:f>
              <c:strCache>
                <c:ptCount val="1"/>
                <c:pt idx="0">
                  <c:v>Kazakhstan</c:v>
                </c:pt>
              </c:strCache>
            </c:strRef>
          </c:tx>
          <c:dLbls>
            <c:showVal val="1"/>
          </c:dLbls>
          <c:cat>
            <c:strRef>
              <c:f>Лист1!$B$27:$G$27</c:f>
              <c:strCache>
                <c:ptCount val="6"/>
                <c:pt idx="0">
                  <c:v>2010</c:v>
                </c:pt>
                <c:pt idx="1">
                  <c:v>2011</c:v>
                </c:pt>
                <c:pt idx="2">
                  <c:v>2012</c:v>
                </c:pt>
                <c:pt idx="3">
                  <c:v>2013</c:v>
                </c:pt>
                <c:pt idx="4">
                  <c:v>2014</c:v>
                </c:pt>
                <c:pt idx="5">
                  <c:v>2015, 1st quarter</c:v>
                </c:pt>
              </c:strCache>
            </c:strRef>
          </c:cat>
          <c:val>
            <c:numRef>
              <c:f>Лист1!$B$30:$G$30</c:f>
              <c:numCache>
                <c:formatCode>_-* #,##0.0_р_._-;\-* #,##0.0_р_._-;_-* "-"?_р_._-;_-@_-</c:formatCode>
                <c:ptCount val="6"/>
                <c:pt idx="0">
                  <c:v>5999.2</c:v>
                </c:pt>
                <c:pt idx="1">
                  <c:v>7103.3</c:v>
                </c:pt>
                <c:pt idx="2">
                  <c:v>6228.7</c:v>
                </c:pt>
                <c:pt idx="3">
                  <c:v>5933.6</c:v>
                </c:pt>
                <c:pt idx="4">
                  <c:v>5207.3</c:v>
                </c:pt>
                <c:pt idx="5">
                  <c:v>901.6</c:v>
                </c:pt>
              </c:numCache>
            </c:numRef>
          </c:val>
        </c:ser>
        <c:ser>
          <c:idx val="3"/>
          <c:order val="3"/>
          <c:tx>
            <c:strRef>
              <c:f>Лист1!$A$31</c:f>
              <c:strCache>
                <c:ptCount val="1"/>
                <c:pt idx="0">
                  <c:v>Russia</c:v>
                </c:pt>
              </c:strCache>
            </c:strRef>
          </c:tx>
          <c:dLbls>
            <c:showVal val="1"/>
          </c:dLbls>
          <c:cat>
            <c:strRef>
              <c:f>Лист1!$B$27:$G$27</c:f>
              <c:strCache>
                <c:ptCount val="6"/>
                <c:pt idx="0">
                  <c:v>2010</c:v>
                </c:pt>
                <c:pt idx="1">
                  <c:v>2011</c:v>
                </c:pt>
                <c:pt idx="2">
                  <c:v>2012</c:v>
                </c:pt>
                <c:pt idx="3">
                  <c:v>2013</c:v>
                </c:pt>
                <c:pt idx="4">
                  <c:v>2014</c:v>
                </c:pt>
                <c:pt idx="5">
                  <c:v>2015, 1st quarter</c:v>
                </c:pt>
              </c:strCache>
            </c:strRef>
          </c:cat>
          <c:val>
            <c:numRef>
              <c:f>Лист1!$B$31:$G$31</c:f>
              <c:numCache>
                <c:formatCode>_-* #,##0.0_р_._-;\-* #,##0.0_р_._-;_-* "-"?_р_._-;_-@_-</c:formatCode>
                <c:ptCount val="6"/>
                <c:pt idx="0">
                  <c:v>30717</c:v>
                </c:pt>
                <c:pt idx="1">
                  <c:v>40814.699999999997</c:v>
                </c:pt>
                <c:pt idx="2">
                  <c:v>44511.4</c:v>
                </c:pt>
                <c:pt idx="3">
                  <c:v>40878</c:v>
                </c:pt>
                <c:pt idx="4">
                  <c:v>36017.1</c:v>
                </c:pt>
                <c:pt idx="5">
                  <c:v>6200.8</c:v>
                </c:pt>
              </c:numCache>
            </c:numRef>
          </c:val>
        </c:ser>
        <c:overlap val="100"/>
        <c:axId val="102269696"/>
        <c:axId val="102271232"/>
      </c:barChart>
      <c:catAx>
        <c:axId val="102269696"/>
        <c:scaling>
          <c:orientation val="minMax"/>
        </c:scaling>
        <c:axPos val="b"/>
        <c:tickLblPos val="nextTo"/>
        <c:crossAx val="102271232"/>
        <c:crosses val="autoZero"/>
        <c:auto val="1"/>
        <c:lblAlgn val="ctr"/>
        <c:lblOffset val="100"/>
      </c:catAx>
      <c:valAx>
        <c:axId val="102271232"/>
        <c:scaling>
          <c:orientation val="minMax"/>
        </c:scaling>
        <c:axPos val="l"/>
        <c:majorGridlines/>
        <c:numFmt formatCode="0%" sourceLinked="1"/>
        <c:tickLblPos val="nextTo"/>
        <c:crossAx val="102269696"/>
        <c:crosses val="autoZero"/>
        <c:crossBetween val="between"/>
      </c:valAx>
    </c:plotArea>
    <c:legend>
      <c:legendPos val="r"/>
      <c:legendEntry>
        <c:idx val="3"/>
        <c:delete val="1"/>
      </c:legendEntry>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Лист1!$A$35</c:f>
              <c:strCache>
                <c:ptCount val="1"/>
                <c:pt idx="0">
                  <c:v>Armenia</c:v>
                </c:pt>
              </c:strCache>
            </c:strRef>
          </c:tx>
          <c:cat>
            <c:strRef>
              <c:f>Лист1!$B$34:$G$34</c:f>
              <c:strCache>
                <c:ptCount val="6"/>
                <c:pt idx="0">
                  <c:v>2010</c:v>
                </c:pt>
                <c:pt idx="1">
                  <c:v>2011</c:v>
                </c:pt>
                <c:pt idx="2">
                  <c:v>2012</c:v>
                </c:pt>
                <c:pt idx="3">
                  <c:v>2013</c:v>
                </c:pt>
                <c:pt idx="4">
                  <c:v>2014</c:v>
                </c:pt>
                <c:pt idx="5">
                  <c:v>2015, 1st quarter</c:v>
                </c:pt>
              </c:strCache>
            </c:strRef>
          </c:cat>
          <c:val>
            <c:numRef>
              <c:f>Лист1!$B$35:$G$35</c:f>
            </c:numRef>
          </c:val>
          <c:shape val="box"/>
        </c:ser>
        <c:ser>
          <c:idx val="1"/>
          <c:order val="1"/>
          <c:tx>
            <c:strRef>
              <c:f>Лист1!$A$36</c:f>
              <c:strCache>
                <c:ptCount val="1"/>
                <c:pt idx="0">
                  <c:v>Belarus</c:v>
                </c:pt>
              </c:strCache>
            </c:strRef>
          </c:tx>
          <c:dLbls>
            <c:dLbl>
              <c:idx val="1"/>
              <c:layout>
                <c:manualLayout>
                  <c:x val="0"/>
                  <c:y val="-4.3715846994535491E-2"/>
                </c:manualLayout>
              </c:layout>
              <c:showVal val="1"/>
            </c:dLbl>
            <c:dLbl>
              <c:idx val="2"/>
              <c:layout>
                <c:manualLayout>
                  <c:x val="0"/>
                  <c:y val="-3.2786885245901641E-2"/>
                </c:manualLayout>
              </c:layout>
              <c:showVal val="1"/>
            </c:dLbl>
            <c:showVal val="1"/>
          </c:dLbls>
          <c:cat>
            <c:strRef>
              <c:f>Лист1!$B$34:$G$34</c:f>
              <c:strCache>
                <c:ptCount val="6"/>
                <c:pt idx="0">
                  <c:v>2010</c:v>
                </c:pt>
                <c:pt idx="1">
                  <c:v>2011</c:v>
                </c:pt>
                <c:pt idx="2">
                  <c:v>2012</c:v>
                </c:pt>
                <c:pt idx="3">
                  <c:v>2013</c:v>
                </c:pt>
                <c:pt idx="4">
                  <c:v>2014</c:v>
                </c:pt>
                <c:pt idx="5">
                  <c:v>2015, 1st quarter</c:v>
                </c:pt>
              </c:strCache>
            </c:strRef>
          </c:cat>
          <c:val>
            <c:numRef>
              <c:f>Лист1!$B$36:$G$36</c:f>
              <c:numCache>
                <c:formatCode>_-* #,##0.0_р_._-;\-* #,##0.0_р_._-;_-* "-"?_р_._-;_-@_-</c:formatCode>
                <c:ptCount val="6"/>
                <c:pt idx="0">
                  <c:v>41.206483305251645</c:v>
                </c:pt>
                <c:pt idx="1">
                  <c:v>36.65684830633284</c:v>
                </c:pt>
                <c:pt idx="2">
                  <c:v>37.160473724775059</c:v>
                </c:pt>
                <c:pt idx="3">
                  <c:v>47.598619488436604</c:v>
                </c:pt>
                <c:pt idx="4">
                  <c:v>44.594828462411151</c:v>
                </c:pt>
                <c:pt idx="5">
                  <c:v>36.789089106694554</c:v>
                </c:pt>
              </c:numCache>
            </c:numRef>
          </c:val>
        </c:ser>
        <c:ser>
          <c:idx val="2"/>
          <c:order val="2"/>
          <c:tx>
            <c:strRef>
              <c:f>Лист1!$A$37</c:f>
              <c:strCache>
                <c:ptCount val="1"/>
                <c:pt idx="0">
                  <c:v>Kazakhstan</c:v>
                </c:pt>
              </c:strCache>
            </c:strRef>
          </c:tx>
          <c:dLbls>
            <c:dLbl>
              <c:idx val="0"/>
              <c:layout>
                <c:manualLayout>
                  <c:x val="6.4585575888051697E-3"/>
                  <c:y val="-7.1038251366120214E-2"/>
                </c:manualLayout>
              </c:layout>
              <c:showVal val="1"/>
            </c:dLbl>
            <c:dLbl>
              <c:idx val="1"/>
              <c:layout>
                <c:manualLayout>
                  <c:x val="1.0764262648008619E-2"/>
                  <c:y val="-9.2896174863387998E-2"/>
                </c:manualLayout>
              </c:layout>
              <c:showVal val="1"/>
            </c:dLbl>
            <c:dLbl>
              <c:idx val="2"/>
              <c:layout>
                <c:manualLayout>
                  <c:x val="8.6114101184068936E-3"/>
                  <c:y val="-0.10382513661202186"/>
                </c:manualLayout>
              </c:layout>
              <c:showVal val="1"/>
            </c:dLbl>
            <c:dLbl>
              <c:idx val="3"/>
              <c:layout>
                <c:manualLayout>
                  <c:x val="6.4585575888051697E-3"/>
                  <c:y val="-0.10928961748633879"/>
                </c:manualLayout>
              </c:layout>
              <c:showVal val="1"/>
            </c:dLbl>
            <c:dLbl>
              <c:idx val="4"/>
              <c:layout>
                <c:manualLayout>
                  <c:x val="1.5069967707212063E-2"/>
                  <c:y val="-0.11475409836065574"/>
                </c:manualLayout>
              </c:layout>
              <c:showVal val="1"/>
            </c:dLbl>
            <c:dLbl>
              <c:idx val="5"/>
              <c:layout>
                <c:manualLayout>
                  <c:x val="8.6114101184068936E-3"/>
                  <c:y val="-0.10928961748633879"/>
                </c:manualLayout>
              </c:layout>
              <c:showVal val="1"/>
            </c:dLbl>
            <c:showVal val="1"/>
          </c:dLbls>
          <c:cat>
            <c:strRef>
              <c:f>Лист1!$B$34:$G$34</c:f>
              <c:strCache>
                <c:ptCount val="6"/>
                <c:pt idx="0">
                  <c:v>2010</c:v>
                </c:pt>
                <c:pt idx="1">
                  <c:v>2011</c:v>
                </c:pt>
                <c:pt idx="2">
                  <c:v>2012</c:v>
                </c:pt>
                <c:pt idx="3">
                  <c:v>2013</c:v>
                </c:pt>
                <c:pt idx="4">
                  <c:v>2014</c:v>
                </c:pt>
                <c:pt idx="5">
                  <c:v>2015, 1st quarter</c:v>
                </c:pt>
              </c:strCache>
            </c:strRef>
          </c:cat>
          <c:val>
            <c:numRef>
              <c:f>Лист1!$B$37:$G$37</c:f>
              <c:numCache>
                <c:formatCode>_-* #,##0.0_р_._-;\-* #,##0.0_р_._-;_-* "-"?_р_._-;_-@_-</c:formatCode>
                <c:ptCount val="6"/>
                <c:pt idx="0">
                  <c:v>9.9537255956025223</c:v>
                </c:pt>
                <c:pt idx="1">
                  <c:v>8.4226290346104076</c:v>
                </c:pt>
                <c:pt idx="2">
                  <c:v>7.2050656515004805</c:v>
                </c:pt>
                <c:pt idx="3">
                  <c:v>7.0053978493608051</c:v>
                </c:pt>
                <c:pt idx="4">
                  <c:v>6.6557341847546834</c:v>
                </c:pt>
                <c:pt idx="5">
                  <c:v>7.5516579976715184</c:v>
                </c:pt>
              </c:numCache>
            </c:numRef>
          </c:val>
        </c:ser>
        <c:ser>
          <c:idx val="3"/>
          <c:order val="3"/>
          <c:tx>
            <c:strRef>
              <c:f>Лист1!$A$38</c:f>
              <c:strCache>
                <c:ptCount val="1"/>
                <c:pt idx="0">
                  <c:v>Russia</c:v>
                </c:pt>
              </c:strCache>
            </c:strRef>
          </c:tx>
          <c:dLbls>
            <c:showVal val="1"/>
          </c:dLbls>
          <c:cat>
            <c:strRef>
              <c:f>Лист1!$B$34:$G$34</c:f>
              <c:strCache>
                <c:ptCount val="6"/>
                <c:pt idx="0">
                  <c:v>2010</c:v>
                </c:pt>
                <c:pt idx="1">
                  <c:v>2011</c:v>
                </c:pt>
                <c:pt idx="2">
                  <c:v>2012</c:v>
                </c:pt>
                <c:pt idx="3">
                  <c:v>2013</c:v>
                </c:pt>
                <c:pt idx="4">
                  <c:v>2014</c:v>
                </c:pt>
                <c:pt idx="5">
                  <c:v>2015, 1st quarter</c:v>
                </c:pt>
              </c:strCache>
            </c:strRef>
          </c:cat>
          <c:val>
            <c:numRef>
              <c:f>Лист1!$B$38:$G$38</c:f>
              <c:numCache>
                <c:formatCode>_-* #,##0.0_р_._-;\-* #,##0.0_р_._-;_-* "-"?_р_._-;_-@_-</c:formatCode>
                <c:ptCount val="6"/>
                <c:pt idx="0">
                  <c:v>7.7030369781886465</c:v>
                </c:pt>
                <c:pt idx="1">
                  <c:v>7.8679940795391268</c:v>
                </c:pt>
                <c:pt idx="2">
                  <c:v>8.4141133380011812</c:v>
                </c:pt>
                <c:pt idx="3">
                  <c:v>7.7087009430231639</c:v>
                </c:pt>
                <c:pt idx="4">
                  <c:v>7.2127634137261438</c:v>
                </c:pt>
                <c:pt idx="5">
                  <c:v>6.8602026817719164</c:v>
                </c:pt>
              </c:numCache>
            </c:numRef>
          </c:val>
        </c:ser>
        <c:shape val="cylinder"/>
        <c:axId val="102644736"/>
        <c:axId val="102658816"/>
        <c:axId val="0"/>
      </c:bar3DChart>
      <c:catAx>
        <c:axId val="102644736"/>
        <c:scaling>
          <c:orientation val="minMax"/>
        </c:scaling>
        <c:axPos val="b"/>
        <c:tickLblPos val="nextTo"/>
        <c:crossAx val="102658816"/>
        <c:crosses val="autoZero"/>
        <c:auto val="1"/>
        <c:lblAlgn val="ctr"/>
        <c:lblOffset val="100"/>
      </c:catAx>
      <c:valAx>
        <c:axId val="102658816"/>
        <c:scaling>
          <c:orientation val="minMax"/>
        </c:scaling>
        <c:axPos val="l"/>
        <c:majorGridlines/>
        <c:numFmt formatCode="_-* #,##0.0_р_._-;\-* #,##0.0_р_._-;_-* &quot;-&quot;?_р_._-;_-@_-" sourceLinked="1"/>
        <c:tickLblPos val="nextTo"/>
        <c:crossAx val="10264473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tx>
            <c:strRef>
              <c:f>Лист1!$A$68</c:f>
              <c:strCache>
                <c:ptCount val="1"/>
                <c:pt idx="0">
                  <c:v>Armenia</c:v>
                </c:pt>
              </c:strCache>
            </c:strRef>
          </c:tx>
          <c:cat>
            <c:strRef>
              <c:f>Лист1!$B$67:$G$67</c:f>
              <c:strCache>
                <c:ptCount val="6"/>
                <c:pt idx="0">
                  <c:v>2010</c:v>
                </c:pt>
                <c:pt idx="1">
                  <c:v>2011</c:v>
                </c:pt>
                <c:pt idx="2">
                  <c:v>2012</c:v>
                </c:pt>
                <c:pt idx="3">
                  <c:v>2013</c:v>
                </c:pt>
                <c:pt idx="4">
                  <c:v>2014</c:v>
                </c:pt>
                <c:pt idx="5">
                  <c:v>2015, 1st quarter</c:v>
                </c:pt>
              </c:strCache>
            </c:strRef>
          </c:cat>
          <c:val>
            <c:numRef>
              <c:f>Лист1!$B$68:$G$68</c:f>
            </c:numRef>
          </c:val>
        </c:ser>
        <c:ser>
          <c:idx val="1"/>
          <c:order val="1"/>
          <c:tx>
            <c:strRef>
              <c:f>Лист1!$A$69</c:f>
              <c:strCache>
                <c:ptCount val="1"/>
                <c:pt idx="0">
                  <c:v>Belarus</c:v>
                </c:pt>
              </c:strCache>
            </c:strRef>
          </c:tx>
          <c:dLbls>
            <c:showVal val="1"/>
          </c:dLbls>
          <c:cat>
            <c:strRef>
              <c:f>Лист1!$B$67:$G$67</c:f>
              <c:strCache>
                <c:ptCount val="6"/>
                <c:pt idx="0">
                  <c:v>2010</c:v>
                </c:pt>
                <c:pt idx="1">
                  <c:v>2011</c:v>
                </c:pt>
                <c:pt idx="2">
                  <c:v>2012</c:v>
                </c:pt>
                <c:pt idx="3">
                  <c:v>2013</c:v>
                </c:pt>
                <c:pt idx="4">
                  <c:v>2014</c:v>
                </c:pt>
                <c:pt idx="5">
                  <c:v>2015, 1st quarter</c:v>
                </c:pt>
              </c:strCache>
            </c:strRef>
          </c:cat>
          <c:val>
            <c:numRef>
              <c:f>Лист1!$B$69:$G$69</c:f>
              <c:numCache>
                <c:formatCode>_-* #,##0.0_р_._-;\-* #,##0.0_р_._-;_-* "-"?_р_._-;_-@_-</c:formatCode>
                <c:ptCount val="6"/>
                <c:pt idx="0">
                  <c:v>18658.5</c:v>
                </c:pt>
                <c:pt idx="1">
                  <c:v>25615.7</c:v>
                </c:pt>
                <c:pt idx="2">
                  <c:v>27670.799999999996</c:v>
                </c:pt>
                <c:pt idx="3">
                  <c:v>22988.6</c:v>
                </c:pt>
                <c:pt idx="4">
                  <c:v>22580.6</c:v>
                </c:pt>
                <c:pt idx="5">
                  <c:v>3898</c:v>
                </c:pt>
              </c:numCache>
            </c:numRef>
          </c:val>
        </c:ser>
        <c:ser>
          <c:idx val="2"/>
          <c:order val="2"/>
          <c:tx>
            <c:strRef>
              <c:f>Лист1!$A$70</c:f>
              <c:strCache>
                <c:ptCount val="1"/>
                <c:pt idx="0">
                  <c:v>Kazakhstan</c:v>
                </c:pt>
              </c:strCache>
            </c:strRef>
          </c:tx>
          <c:dLbls>
            <c:showVal val="1"/>
          </c:dLbls>
          <c:cat>
            <c:strRef>
              <c:f>Лист1!$B$67:$G$67</c:f>
              <c:strCache>
                <c:ptCount val="6"/>
                <c:pt idx="0">
                  <c:v>2010</c:v>
                </c:pt>
                <c:pt idx="1">
                  <c:v>2011</c:v>
                </c:pt>
                <c:pt idx="2">
                  <c:v>2012</c:v>
                </c:pt>
                <c:pt idx="3">
                  <c:v>2013</c:v>
                </c:pt>
                <c:pt idx="4">
                  <c:v>2014</c:v>
                </c:pt>
                <c:pt idx="5">
                  <c:v>2015, 1st quarter</c:v>
                </c:pt>
              </c:strCache>
            </c:strRef>
          </c:cat>
          <c:val>
            <c:numRef>
              <c:f>Лист1!$B$70:$G$70</c:f>
              <c:numCache>
                <c:formatCode>_-* #,##0.0_р_._-;\-* #,##0.0_р_._-;_-* "-"?_р_._-;_-@_-</c:formatCode>
                <c:ptCount val="6"/>
                <c:pt idx="0">
                  <c:v>12899.5</c:v>
                </c:pt>
                <c:pt idx="1">
                  <c:v>15925.8</c:v>
                </c:pt>
                <c:pt idx="2">
                  <c:v>17659.599999999988</c:v>
                </c:pt>
                <c:pt idx="3">
                  <c:v>18670.099999999988</c:v>
                </c:pt>
                <c:pt idx="4">
                  <c:v>14457.9</c:v>
                </c:pt>
                <c:pt idx="5">
                  <c:v>2528.6</c:v>
                </c:pt>
              </c:numCache>
            </c:numRef>
          </c:val>
        </c:ser>
        <c:ser>
          <c:idx val="3"/>
          <c:order val="3"/>
          <c:tx>
            <c:strRef>
              <c:f>Лист1!$A$71</c:f>
              <c:strCache>
                <c:ptCount val="1"/>
                <c:pt idx="0">
                  <c:v>Russia</c:v>
                </c:pt>
              </c:strCache>
            </c:strRef>
          </c:tx>
          <c:dLbls>
            <c:showVal val="1"/>
          </c:dLbls>
          <c:cat>
            <c:strRef>
              <c:f>Лист1!$B$67:$G$67</c:f>
              <c:strCache>
                <c:ptCount val="6"/>
                <c:pt idx="0">
                  <c:v>2010</c:v>
                </c:pt>
                <c:pt idx="1">
                  <c:v>2011</c:v>
                </c:pt>
                <c:pt idx="2">
                  <c:v>2012</c:v>
                </c:pt>
                <c:pt idx="3">
                  <c:v>2013</c:v>
                </c:pt>
                <c:pt idx="4">
                  <c:v>2014</c:v>
                </c:pt>
                <c:pt idx="5">
                  <c:v>2015, 1st quarter</c:v>
                </c:pt>
              </c:strCache>
            </c:strRef>
          </c:cat>
          <c:val>
            <c:numRef>
              <c:f>Лист1!$B$71:$G$71</c:f>
              <c:numCache>
                <c:formatCode>_-* #,##0.0_р_._-;\-* #,##0.0_р_._-;_-* "-"?_р_._-;_-@_-</c:formatCode>
                <c:ptCount val="6"/>
                <c:pt idx="0">
                  <c:v>15678.4</c:v>
                </c:pt>
                <c:pt idx="1">
                  <c:v>21507.5</c:v>
                </c:pt>
                <c:pt idx="2">
                  <c:v>22446.3</c:v>
                </c:pt>
                <c:pt idx="3">
                  <c:v>22713.3</c:v>
                </c:pt>
                <c:pt idx="4">
                  <c:v>20524.400000000001</c:v>
                </c:pt>
                <c:pt idx="5">
                  <c:v>2976</c:v>
                </c:pt>
              </c:numCache>
            </c:numRef>
          </c:val>
        </c:ser>
        <c:overlap val="100"/>
        <c:axId val="102681984"/>
        <c:axId val="102712448"/>
      </c:barChart>
      <c:catAx>
        <c:axId val="102681984"/>
        <c:scaling>
          <c:orientation val="minMax"/>
        </c:scaling>
        <c:axPos val="b"/>
        <c:tickLblPos val="nextTo"/>
        <c:crossAx val="102712448"/>
        <c:crosses val="autoZero"/>
        <c:auto val="1"/>
        <c:lblAlgn val="ctr"/>
        <c:lblOffset val="100"/>
      </c:catAx>
      <c:valAx>
        <c:axId val="102712448"/>
        <c:scaling>
          <c:orientation val="minMax"/>
        </c:scaling>
        <c:axPos val="l"/>
        <c:majorGridlines/>
        <c:numFmt formatCode="0%" sourceLinked="1"/>
        <c:tickLblPos val="nextTo"/>
        <c:crossAx val="10268198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1"/>
          <c:order val="0"/>
          <c:tx>
            <c:strRef>
              <c:f>Лист1!$A$76</c:f>
              <c:strCache>
                <c:ptCount val="1"/>
                <c:pt idx="0">
                  <c:v>Belarus</c:v>
                </c:pt>
              </c:strCache>
            </c:strRef>
          </c:tx>
          <c:cat>
            <c:strRef>
              <c:f>Лист1!$B$74:$G$74</c:f>
              <c:strCache>
                <c:ptCount val="6"/>
                <c:pt idx="0">
                  <c:v>2010</c:v>
                </c:pt>
                <c:pt idx="1">
                  <c:v>2011</c:v>
                </c:pt>
                <c:pt idx="2">
                  <c:v>2012</c:v>
                </c:pt>
                <c:pt idx="3">
                  <c:v>2013</c:v>
                </c:pt>
                <c:pt idx="4">
                  <c:v>2014</c:v>
                </c:pt>
                <c:pt idx="5">
                  <c:v>2015, 1st quarter</c:v>
                </c:pt>
              </c:strCache>
            </c:strRef>
          </c:cat>
          <c:val>
            <c:numRef>
              <c:f>Лист1!$B$76:$G$76</c:f>
              <c:numCache>
                <c:formatCode>_-* #,##0.0_р_._-;\-* #,##0.0_р_._-;_-* "-"?_р_._-;_-@_-</c:formatCode>
                <c:ptCount val="6"/>
                <c:pt idx="0">
                  <c:v>53.486658793042125</c:v>
                </c:pt>
                <c:pt idx="1">
                  <c:v>55.978120724996856</c:v>
                </c:pt>
                <c:pt idx="2">
                  <c:v>59.627505866685631</c:v>
                </c:pt>
                <c:pt idx="3">
                  <c:v>53.430920234561874</c:v>
                </c:pt>
                <c:pt idx="4">
                  <c:v>55.356411783885264</c:v>
                </c:pt>
                <c:pt idx="5">
                  <c:v>57.692592318508169</c:v>
                </c:pt>
              </c:numCache>
            </c:numRef>
          </c:val>
        </c:ser>
        <c:ser>
          <c:idx val="2"/>
          <c:order val="1"/>
          <c:tx>
            <c:strRef>
              <c:f>Лист1!$A$77</c:f>
              <c:strCache>
                <c:ptCount val="1"/>
                <c:pt idx="0">
                  <c:v>Kazakhstan</c:v>
                </c:pt>
              </c:strCache>
            </c:strRef>
          </c:tx>
          <c:cat>
            <c:strRef>
              <c:f>Лист1!$B$74:$G$74</c:f>
              <c:strCache>
                <c:ptCount val="6"/>
                <c:pt idx="0">
                  <c:v>2010</c:v>
                </c:pt>
                <c:pt idx="1">
                  <c:v>2011</c:v>
                </c:pt>
                <c:pt idx="2">
                  <c:v>2012</c:v>
                </c:pt>
                <c:pt idx="3">
                  <c:v>2013</c:v>
                </c:pt>
                <c:pt idx="4">
                  <c:v>2014</c:v>
                </c:pt>
                <c:pt idx="5">
                  <c:v>2015, 1st quarter</c:v>
                </c:pt>
              </c:strCache>
            </c:strRef>
          </c:cat>
          <c:val>
            <c:numRef>
              <c:f>Лист1!$B$77:$G$77</c:f>
              <c:numCache>
                <c:formatCode>_-* #,##0.0_р_._-;\-* #,##0.0_р_._-;_-* "-"?_р_._-;_-@_-</c:formatCode>
                <c:ptCount val="6"/>
                <c:pt idx="0">
                  <c:v>41.44484248742949</c:v>
                </c:pt>
                <c:pt idx="1">
                  <c:v>43.152566805217567</c:v>
                </c:pt>
                <c:pt idx="2">
                  <c:v>38.093389158884953</c:v>
                </c:pt>
                <c:pt idx="3">
                  <c:v>38.254011834707491</c:v>
                </c:pt>
                <c:pt idx="4">
                  <c:v>35.081006189809479</c:v>
                </c:pt>
                <c:pt idx="5">
                  <c:v>35.198641387566475</c:v>
                </c:pt>
              </c:numCache>
            </c:numRef>
          </c:val>
        </c:ser>
        <c:ser>
          <c:idx val="3"/>
          <c:order val="2"/>
          <c:tx>
            <c:strRef>
              <c:f>Лист1!$A$78</c:f>
              <c:strCache>
                <c:ptCount val="1"/>
                <c:pt idx="0">
                  <c:v>Russia</c:v>
                </c:pt>
              </c:strCache>
            </c:strRef>
          </c:tx>
          <c:cat>
            <c:strRef>
              <c:f>Лист1!$B$74:$G$74</c:f>
              <c:strCache>
                <c:ptCount val="6"/>
                <c:pt idx="0">
                  <c:v>2010</c:v>
                </c:pt>
                <c:pt idx="1">
                  <c:v>2011</c:v>
                </c:pt>
                <c:pt idx="2">
                  <c:v>2012</c:v>
                </c:pt>
                <c:pt idx="3">
                  <c:v>2013</c:v>
                </c:pt>
                <c:pt idx="4">
                  <c:v>2014</c:v>
                </c:pt>
                <c:pt idx="5">
                  <c:v>2015, 1st quarter</c:v>
                </c:pt>
              </c:strCache>
            </c:strRef>
          </c:cat>
          <c:val>
            <c:numRef>
              <c:f>Лист1!$B$78:$G$78</c:f>
              <c:numCache>
                <c:formatCode>_-* #,##0.0_р_._-;\-* #,##0.0_р_._-;_-* "-"?_р_._-;_-@_-</c:formatCode>
                <c:ptCount val="6"/>
                <c:pt idx="0">
                  <c:v>6.8074434485998596</c:v>
                </c:pt>
                <c:pt idx="1">
                  <c:v>7.0236185604447545</c:v>
                </c:pt>
                <c:pt idx="2">
                  <c:v>7.1046961711561298</c:v>
                </c:pt>
                <c:pt idx="3">
                  <c:v>7.1462686229055139</c:v>
                </c:pt>
                <c:pt idx="4">
                  <c:v>7.1374048854313052</c:v>
                </c:pt>
                <c:pt idx="5">
                  <c:v>7.0706470734981437</c:v>
                </c:pt>
              </c:numCache>
            </c:numRef>
          </c:val>
        </c:ser>
        <c:shape val="cylinder"/>
        <c:axId val="102742272"/>
        <c:axId val="102748160"/>
        <c:axId val="0"/>
      </c:bar3DChart>
      <c:catAx>
        <c:axId val="102742272"/>
        <c:scaling>
          <c:orientation val="minMax"/>
        </c:scaling>
        <c:axPos val="b"/>
        <c:tickLblPos val="nextTo"/>
        <c:crossAx val="102748160"/>
        <c:crosses val="autoZero"/>
        <c:auto val="1"/>
        <c:lblAlgn val="ctr"/>
        <c:lblOffset val="100"/>
      </c:catAx>
      <c:valAx>
        <c:axId val="102748160"/>
        <c:scaling>
          <c:orientation val="minMax"/>
        </c:scaling>
        <c:axPos val="l"/>
        <c:majorGridlines/>
        <c:numFmt formatCode="_-* #,##0.0_р_._-;\-* #,##0.0_р_._-;_-* &quot;-&quot;?_р_._-;_-@_-" sourceLinked="1"/>
        <c:tickLblPos val="nextTo"/>
        <c:crossAx val="102742272"/>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pie3DChart>
        <c:varyColors val="1"/>
        <c:ser>
          <c:idx val="0"/>
          <c:order val="0"/>
          <c:explosion val="25"/>
          <c:dLbls>
            <c:showVal val="1"/>
            <c:showCatName val="1"/>
            <c:showPercent val="1"/>
            <c:showLeaderLines val="1"/>
          </c:dLbls>
          <c:cat>
            <c:strRef>
              <c:f>Лист1!$A$4:$A$7</c:f>
              <c:strCache>
                <c:ptCount val="4"/>
                <c:pt idx="0">
                  <c:v>Others</c:v>
                </c:pt>
                <c:pt idx="1">
                  <c:v>Russia</c:v>
                </c:pt>
                <c:pt idx="2">
                  <c:v>Cyprus</c:v>
                </c:pt>
                <c:pt idx="3">
                  <c:v>UK</c:v>
                </c:pt>
              </c:strCache>
            </c:strRef>
          </c:cat>
          <c:val>
            <c:numRef>
              <c:f>Лист1!$B$4:$B$7</c:f>
              <c:numCache>
                <c:formatCode>General</c:formatCode>
                <c:ptCount val="4"/>
                <c:pt idx="0">
                  <c:v>2160461.9</c:v>
                </c:pt>
                <c:pt idx="1">
                  <c:v>1508667.1</c:v>
                </c:pt>
                <c:pt idx="2">
                  <c:v>686963.6</c:v>
                </c:pt>
                <c:pt idx="3">
                  <c:v>411778.9</c:v>
                </c:pt>
              </c:numCache>
            </c:numRef>
          </c:val>
        </c:ser>
      </c:pie3DChart>
    </c:plotArea>
    <c:plotVisOnly val="1"/>
  </c:chart>
  <c:txPr>
    <a:bodyPr/>
    <a:lstStyle/>
    <a:p>
      <a:pPr>
        <a:defRPr sz="800"/>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2"/>
          <c:order val="0"/>
          <c:tx>
            <c:strRef>
              <c:f>Лист1!$A$6</c:f>
              <c:strCache>
                <c:ptCount val="1"/>
                <c:pt idx="0">
                  <c:v>The Netherlands</c:v>
                </c:pt>
              </c:strCache>
            </c:strRef>
          </c:tx>
          <c:cat>
            <c:strRef>
              <c:f>Лист1!$B$3:$AU$3</c:f>
              <c:strCache>
                <c:ptCount val="10"/>
                <c:pt idx="0">
                  <c:v>2005</c:v>
                </c:pt>
                <c:pt idx="1">
                  <c:v>2006</c:v>
                </c:pt>
                <c:pt idx="2">
                  <c:v>2007</c:v>
                </c:pt>
                <c:pt idx="3">
                  <c:v>2008</c:v>
                </c:pt>
                <c:pt idx="4">
                  <c:v>2009</c:v>
                </c:pt>
                <c:pt idx="5">
                  <c:v>2010</c:v>
                </c:pt>
                <c:pt idx="6">
                  <c:v>2011</c:v>
                </c:pt>
                <c:pt idx="7">
                  <c:v>2012</c:v>
                </c:pt>
                <c:pt idx="8">
                  <c:v>2013</c:v>
                </c:pt>
                <c:pt idx="9">
                  <c:v>1 half 2014</c:v>
                </c:pt>
              </c:strCache>
            </c:strRef>
          </c:cat>
          <c:val>
            <c:numRef>
              <c:f>Лист1!$B$6:$AU$6</c:f>
              <c:numCache>
                <c:formatCode>#,##0.0</c:formatCode>
                <c:ptCount val="10"/>
                <c:pt idx="0">
                  <c:v>1944.09527</c:v>
                </c:pt>
                <c:pt idx="1">
                  <c:v>2990.7426299999952</c:v>
                </c:pt>
                <c:pt idx="2">
                  <c:v>3266.9971700000042</c:v>
                </c:pt>
                <c:pt idx="3">
                  <c:v>4411.52873</c:v>
                </c:pt>
                <c:pt idx="4">
                  <c:v>7470.2479499999999</c:v>
                </c:pt>
                <c:pt idx="5">
                  <c:v>7310.2880000000005</c:v>
                </c:pt>
                <c:pt idx="6">
                  <c:v>8876.0247900000049</c:v>
                </c:pt>
                <c:pt idx="7">
                  <c:v>8692.173189999985</c:v>
                </c:pt>
                <c:pt idx="8">
                  <c:v>6538.5707879875417</c:v>
                </c:pt>
              </c:numCache>
            </c:numRef>
          </c:val>
        </c:ser>
        <c:ser>
          <c:idx val="3"/>
          <c:order val="1"/>
          <c:tx>
            <c:strRef>
              <c:f>Лист1!$A$7</c:f>
              <c:strCache>
                <c:ptCount val="1"/>
                <c:pt idx="0">
                  <c:v>Russian Federation</c:v>
                </c:pt>
              </c:strCache>
            </c:strRef>
          </c:tx>
          <c:spPr>
            <a:ln>
              <a:solidFill>
                <a:srgbClr val="00B050"/>
              </a:solidFill>
            </a:ln>
          </c:spPr>
          <c:cat>
            <c:strRef>
              <c:f>Лист1!$B$3:$AU$3</c:f>
              <c:strCache>
                <c:ptCount val="10"/>
                <c:pt idx="0">
                  <c:v>2005</c:v>
                </c:pt>
                <c:pt idx="1">
                  <c:v>2006</c:v>
                </c:pt>
                <c:pt idx="2">
                  <c:v>2007</c:v>
                </c:pt>
                <c:pt idx="3">
                  <c:v>2008</c:v>
                </c:pt>
                <c:pt idx="4">
                  <c:v>2009</c:v>
                </c:pt>
                <c:pt idx="5">
                  <c:v>2010</c:v>
                </c:pt>
                <c:pt idx="6">
                  <c:v>2011</c:v>
                </c:pt>
                <c:pt idx="7">
                  <c:v>2012</c:v>
                </c:pt>
                <c:pt idx="8">
                  <c:v>2013</c:v>
                </c:pt>
                <c:pt idx="9">
                  <c:v>1 half 2014</c:v>
                </c:pt>
              </c:strCache>
            </c:strRef>
          </c:cat>
          <c:val>
            <c:numRef>
              <c:f>Лист1!$B$7:$AU$7</c:f>
              <c:numCache>
                <c:formatCode>#,##0.0</c:formatCode>
                <c:ptCount val="10"/>
                <c:pt idx="0">
                  <c:v>226.78150000000002</c:v>
                </c:pt>
                <c:pt idx="1">
                  <c:v>541.14688999999998</c:v>
                </c:pt>
                <c:pt idx="2">
                  <c:v>827.61276999999939</c:v>
                </c:pt>
                <c:pt idx="3">
                  <c:v>965.64440999999999</c:v>
                </c:pt>
                <c:pt idx="4">
                  <c:v>663.55903000000001</c:v>
                </c:pt>
                <c:pt idx="5">
                  <c:v>951.59411</c:v>
                </c:pt>
                <c:pt idx="6">
                  <c:v>1000.055599999999</c:v>
                </c:pt>
                <c:pt idx="7">
                  <c:v>1069.4585339470711</c:v>
                </c:pt>
                <c:pt idx="8">
                  <c:v>1299.22489384</c:v>
                </c:pt>
                <c:pt idx="9">
                  <c:v>694.77648460387104</c:v>
                </c:pt>
              </c:numCache>
            </c:numRef>
          </c:val>
        </c:ser>
        <c:ser>
          <c:idx val="4"/>
          <c:order val="2"/>
          <c:tx>
            <c:strRef>
              <c:f>Лист1!$A$8</c:f>
              <c:strCache>
                <c:ptCount val="1"/>
                <c:pt idx="0">
                  <c:v>USA</c:v>
                </c:pt>
              </c:strCache>
            </c:strRef>
          </c:tx>
          <c:cat>
            <c:strRef>
              <c:f>Лист1!$B$3:$AU$3</c:f>
              <c:strCache>
                <c:ptCount val="10"/>
                <c:pt idx="0">
                  <c:v>2005</c:v>
                </c:pt>
                <c:pt idx="1">
                  <c:v>2006</c:v>
                </c:pt>
                <c:pt idx="2">
                  <c:v>2007</c:v>
                </c:pt>
                <c:pt idx="3">
                  <c:v>2008</c:v>
                </c:pt>
                <c:pt idx="4">
                  <c:v>2009</c:v>
                </c:pt>
                <c:pt idx="5">
                  <c:v>2010</c:v>
                </c:pt>
                <c:pt idx="6">
                  <c:v>2011</c:v>
                </c:pt>
                <c:pt idx="7">
                  <c:v>2012</c:v>
                </c:pt>
                <c:pt idx="8">
                  <c:v>2013</c:v>
                </c:pt>
                <c:pt idx="9">
                  <c:v>1 half 2014</c:v>
                </c:pt>
              </c:strCache>
            </c:strRef>
          </c:cat>
          <c:val>
            <c:numRef>
              <c:f>Лист1!$B$8:$AU$8</c:f>
              <c:numCache>
                <c:formatCode>#,##0.0</c:formatCode>
                <c:ptCount val="10"/>
                <c:pt idx="0">
                  <c:v>1181.11573</c:v>
                </c:pt>
                <c:pt idx="1">
                  <c:v>1748.9852100000003</c:v>
                </c:pt>
                <c:pt idx="2">
                  <c:v>2507.1087799999987</c:v>
                </c:pt>
                <c:pt idx="3">
                  <c:v>2099.3808799999997</c:v>
                </c:pt>
                <c:pt idx="4">
                  <c:v>2028.0556700000011</c:v>
                </c:pt>
                <c:pt idx="5">
                  <c:v>1810.86581</c:v>
                </c:pt>
                <c:pt idx="6">
                  <c:v>1113.43903</c:v>
                </c:pt>
                <c:pt idx="7">
                  <c:v>1975.6773599999997</c:v>
                </c:pt>
                <c:pt idx="8">
                  <c:v>2438.7057972000002</c:v>
                </c:pt>
                <c:pt idx="9">
                  <c:v>2343.7639876999997</c:v>
                </c:pt>
              </c:numCache>
            </c:numRef>
          </c:val>
        </c:ser>
        <c:ser>
          <c:idx val="5"/>
          <c:order val="3"/>
          <c:tx>
            <c:strRef>
              <c:f>Лист1!$A$9</c:f>
              <c:strCache>
                <c:ptCount val="1"/>
                <c:pt idx="0">
                  <c:v>Total</c:v>
                </c:pt>
              </c:strCache>
            </c:strRef>
          </c:tx>
          <c:cat>
            <c:strRef>
              <c:f>Лист1!$B$3:$AU$3</c:f>
              <c:strCache>
                <c:ptCount val="10"/>
                <c:pt idx="0">
                  <c:v>2005</c:v>
                </c:pt>
                <c:pt idx="1">
                  <c:v>2006</c:v>
                </c:pt>
                <c:pt idx="2">
                  <c:v>2007</c:v>
                </c:pt>
                <c:pt idx="3">
                  <c:v>2008</c:v>
                </c:pt>
                <c:pt idx="4">
                  <c:v>2009</c:v>
                </c:pt>
                <c:pt idx="5">
                  <c:v>2010</c:v>
                </c:pt>
                <c:pt idx="6">
                  <c:v>2011</c:v>
                </c:pt>
                <c:pt idx="7">
                  <c:v>2012</c:v>
                </c:pt>
                <c:pt idx="8">
                  <c:v>2013</c:v>
                </c:pt>
                <c:pt idx="9">
                  <c:v>1 half 2014</c:v>
                </c:pt>
              </c:strCache>
            </c:strRef>
          </c:cat>
          <c:val>
            <c:numRef>
              <c:f>Лист1!$B$9:$AU$9</c:f>
              <c:numCache>
                <c:formatCode>#,##0</c:formatCode>
                <c:ptCount val="10"/>
                <c:pt idx="0">
                  <c:v>7915.8344300000026</c:v>
                </c:pt>
                <c:pt idx="1">
                  <c:v>12066.137549999998</c:v>
                </c:pt>
                <c:pt idx="2">
                  <c:v>19417.747640000009</c:v>
                </c:pt>
                <c:pt idx="3">
                  <c:v>21301.300939999961</c:v>
                </c:pt>
                <c:pt idx="4">
                  <c:v>21436.620810000004</c:v>
                </c:pt>
                <c:pt idx="5">
                  <c:v>22245.603641081416</c:v>
                </c:pt>
                <c:pt idx="6">
                  <c:v>26467.299600000013</c:v>
                </c:pt>
                <c:pt idx="7">
                  <c:v>28884.850678843861</c:v>
                </c:pt>
                <c:pt idx="8">
                  <c:v>24013.726963351513</c:v>
                </c:pt>
                <c:pt idx="9">
                  <c:v>12428.880964273179</c:v>
                </c:pt>
              </c:numCache>
            </c:numRef>
          </c:val>
        </c:ser>
        <c:marker val="1"/>
        <c:axId val="103457152"/>
        <c:axId val="103458688"/>
      </c:lineChart>
      <c:catAx>
        <c:axId val="103457152"/>
        <c:scaling>
          <c:orientation val="minMax"/>
        </c:scaling>
        <c:axPos val="b"/>
        <c:tickLblPos val="nextTo"/>
        <c:txPr>
          <a:bodyPr/>
          <a:lstStyle/>
          <a:p>
            <a:pPr>
              <a:defRPr sz="1200">
                <a:latin typeface="Times New Roman" pitchFamily="18" charset="0"/>
                <a:cs typeface="Times New Roman" pitchFamily="18" charset="0"/>
              </a:defRPr>
            </a:pPr>
            <a:endParaRPr lang="ru-RU"/>
          </a:p>
        </c:txPr>
        <c:crossAx val="103458688"/>
        <c:crosses val="autoZero"/>
        <c:auto val="1"/>
        <c:lblAlgn val="ctr"/>
        <c:lblOffset val="100"/>
      </c:catAx>
      <c:valAx>
        <c:axId val="103458688"/>
        <c:scaling>
          <c:orientation val="minMax"/>
        </c:scaling>
        <c:axPos val="l"/>
        <c:majorGridlines/>
        <c:numFmt formatCode="#,##0.0" sourceLinked="1"/>
        <c:tickLblPos val="nextTo"/>
        <c:txPr>
          <a:bodyPr/>
          <a:lstStyle/>
          <a:p>
            <a:pPr>
              <a:defRPr sz="1200">
                <a:latin typeface="Times New Roman" pitchFamily="18" charset="0"/>
                <a:cs typeface="Times New Roman" pitchFamily="18" charset="0"/>
              </a:defRPr>
            </a:pPr>
            <a:endParaRPr lang="ru-RU"/>
          </a:p>
        </c:txPr>
        <c:crossAx val="103457152"/>
        <c:crosses val="autoZero"/>
        <c:crossBetween val="between"/>
      </c:valAx>
    </c:plotArea>
    <c:legend>
      <c:legendPos val="r"/>
      <c:layout/>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9A813-44A6-4D5F-B3C8-EF9EE382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3743</TotalTime>
  <Pages>16</Pages>
  <Words>4225</Words>
  <Characters>24086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Saint-Petersburg State University</Company>
  <LinksUpToDate>false</LinksUpToDate>
  <CharactersWithSpaces>28255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Economics</dc:creator>
  <cp:lastModifiedBy>Ольга</cp:lastModifiedBy>
  <cp:revision>90</cp:revision>
  <cp:lastPrinted>2015-06-08T07:04:00Z</cp:lastPrinted>
  <dcterms:created xsi:type="dcterms:W3CDTF">2015-05-31T13:00:00Z</dcterms:created>
  <dcterms:modified xsi:type="dcterms:W3CDTF">2015-06-08T14:14:00Z</dcterms:modified>
</cp:coreProperties>
</file>